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ascii="Arial" w:hAnsi="Arial" w:cs="Arial"/>
          <w:b/>
          <w:i/>
          <w:sz w:val="24"/>
          <w:szCs w:val="24"/>
        </w:rPr>
      </w:pPr>
      <w:r>
        <w:rPr>
          <w:rFonts w:ascii="Arial" w:hAnsi="Arial" w:cs="Arial"/>
          <w:b/>
          <w:sz w:val="24"/>
          <w:szCs w:val="24"/>
        </w:rPr>
        <w:t>NASKAH PUBLIKASI (</w:t>
      </w:r>
      <w:r>
        <w:rPr>
          <w:rFonts w:ascii="Arial" w:hAnsi="Arial" w:cs="Arial"/>
          <w:b/>
          <w:i/>
          <w:sz w:val="24"/>
          <w:szCs w:val="24"/>
        </w:rPr>
        <w:t>MANUSCRIPT)</w:t>
      </w:r>
    </w:p>
    <w:p>
      <w:pPr>
        <w:spacing w:line="240" w:lineRule="auto"/>
        <w:jc w:val="center"/>
        <w:rPr>
          <w:rFonts w:ascii="Arial" w:hAnsi="Arial" w:cs="Arial"/>
          <w:b/>
          <w:sz w:val="24"/>
          <w:szCs w:val="24"/>
        </w:rPr>
      </w:pPr>
      <w:r>
        <w:rPr>
          <w:rFonts w:ascii="Arial" w:hAnsi="Arial" w:cs="Arial"/>
          <w:b/>
          <w:sz w:val="24"/>
          <w:szCs w:val="24"/>
        </w:rPr>
        <w:t>HUBUNGAN PERAN KADER KESEHATAN REMAJA DENGAN TINGKAT PENGETAHUAN KESEHATAN REPRODUKSI PADA</w:t>
      </w:r>
    </w:p>
    <w:p>
      <w:pPr>
        <w:spacing w:line="240" w:lineRule="auto"/>
        <w:jc w:val="center"/>
        <w:rPr>
          <w:rFonts w:ascii="Arial" w:hAnsi="Arial" w:cs="Arial"/>
          <w:b/>
          <w:sz w:val="24"/>
          <w:szCs w:val="24"/>
        </w:rPr>
      </w:pPr>
      <w:r>
        <w:rPr>
          <w:rFonts w:ascii="Arial" w:hAnsi="Arial" w:cs="Arial"/>
          <w:b/>
          <w:sz w:val="24"/>
          <w:szCs w:val="24"/>
        </w:rPr>
        <w:t>SISWA-SISWI SMP AL-AZHAR SYIFA BUDI</w:t>
      </w:r>
    </w:p>
    <w:p>
      <w:pPr>
        <w:spacing w:line="240" w:lineRule="auto"/>
        <w:jc w:val="center"/>
        <w:rPr>
          <w:rFonts w:ascii="Arial" w:hAnsi="Arial" w:cs="Arial"/>
          <w:b/>
          <w:sz w:val="24"/>
          <w:szCs w:val="24"/>
        </w:rPr>
      </w:pPr>
      <w:r>
        <w:rPr>
          <w:rFonts w:ascii="Arial" w:hAnsi="Arial" w:cs="Arial"/>
          <w:b/>
          <w:sz w:val="24"/>
          <w:szCs w:val="24"/>
        </w:rPr>
        <w:t>SAMARINDA</w:t>
      </w: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r>
        <w:rPr>
          <w:rFonts w:ascii="Arial" w:hAnsi="Arial" w:cs="Arial"/>
          <w:b/>
          <w:sz w:val="24"/>
          <w:szCs w:val="24"/>
        </w:rPr>
        <w:t>THE ASSOCIATION BETWEEN HEALTH PEER EDUCATOR ROLE WITH REPRODUCTIVE HEALTH KNOWLEDGE LEVEL ON THE</w:t>
      </w:r>
    </w:p>
    <w:p>
      <w:pPr>
        <w:spacing w:line="240" w:lineRule="auto"/>
        <w:jc w:val="center"/>
        <w:rPr>
          <w:rFonts w:ascii="Arial" w:hAnsi="Arial" w:cs="Arial"/>
          <w:b/>
          <w:sz w:val="24"/>
          <w:szCs w:val="24"/>
        </w:rPr>
      </w:pPr>
      <w:r>
        <w:rPr>
          <w:rFonts w:ascii="Arial" w:hAnsi="Arial" w:cs="Arial"/>
          <w:b/>
          <w:sz w:val="24"/>
          <w:szCs w:val="24"/>
        </w:rPr>
        <w:t>STUDENTS OF SMP AL-AZHAR SYIFA BUDI</w:t>
      </w:r>
    </w:p>
    <w:p>
      <w:pPr>
        <w:spacing w:line="240" w:lineRule="auto"/>
        <w:jc w:val="center"/>
        <w:rPr>
          <w:rFonts w:ascii="Arial" w:hAnsi="Arial" w:cs="Arial"/>
          <w:b/>
          <w:sz w:val="24"/>
          <w:szCs w:val="24"/>
        </w:rPr>
      </w:pPr>
      <w:r>
        <w:rPr>
          <w:rFonts w:ascii="Arial" w:hAnsi="Arial" w:cs="Arial"/>
          <w:b/>
          <w:sz w:val="24"/>
          <w:szCs w:val="24"/>
        </w:rPr>
        <w:t>SAMARINDA</w:t>
      </w: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r>
        <w:rPr>
          <w:rFonts w:ascii="Arial" w:hAnsi="Arial" w:cs="Arial"/>
          <w:b/>
          <w:sz w:val="24"/>
          <w:szCs w:val="24"/>
        </w:rPr>
        <w:t>Desi Sari Ayundari, Ferry Fadzlul Rahman</w:t>
      </w: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r>
        <w:rPr>
          <w:rFonts w:ascii="Arial" w:hAnsi="Arial" w:cs="Arial"/>
          <w:b/>
          <w:sz w:val="24"/>
          <w:szCs w:val="24"/>
        </w:rPr>
        <w:drawing>
          <wp:anchor distT="0" distB="0" distL="114300" distR="114300" simplePos="0" relativeHeight="251658240" behindDoc="0" locked="0" layoutInCell="1" allowOverlap="1">
            <wp:simplePos x="0" y="0"/>
            <wp:positionH relativeFrom="column">
              <wp:posOffset>1891665</wp:posOffset>
            </wp:positionH>
            <wp:positionV relativeFrom="paragraph">
              <wp:posOffset>19050</wp:posOffset>
            </wp:positionV>
            <wp:extent cx="1821815" cy="1695450"/>
            <wp:effectExtent l="19050" t="0" r="698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
                    <a:srcRect/>
                    <a:stretch>
                      <a:fillRect/>
                    </a:stretch>
                  </pic:blipFill>
                  <pic:spPr>
                    <a:xfrm>
                      <a:off x="0" y="0"/>
                      <a:ext cx="1821815" cy="1695450"/>
                    </a:xfrm>
                    <a:custGeom>
                      <a:avLst/>
                      <a:gdLst/>
                      <a:ahLst/>
                      <a:cxnLst>
                        <a:cxn ang="0">
                          <a:pos x="r" y="vc"/>
                        </a:cxn>
                        <a:cxn ang="5400000">
                          <a:pos x="hc" y="b"/>
                        </a:cxn>
                        <a:cxn ang="10800000">
                          <a:pos x="l" y="vc"/>
                        </a:cxn>
                        <a:cxn ang="16200000">
                          <a:pos x="hc" y="t"/>
                        </a:cxn>
                      </a:cxnLst>
                      <a:rect l="0" t="0" r="r" b="b"/>
                      <a:pathLst>
                        <a:path w="21600" h="21600">
                          <a:moveTo>
                            <a:pt x="0" y="0"/>
                          </a:moveTo>
                          <a:lnTo>
                            <a:pt x="0" y="21600"/>
                          </a:lnTo>
                          <a:lnTo>
                            <a:pt x="21600" y="21600"/>
                          </a:lnTo>
                          <a:lnTo>
                            <a:pt x="21600" y="0"/>
                          </a:lnTo>
                          <a:close/>
                        </a:path>
                      </a:pathLst>
                    </a:custGeom>
                    <a:noFill/>
                    <a:ln w="9525">
                      <a:noFill/>
                      <a:miter lim="800000"/>
                      <a:headEnd/>
                      <a:tailEnd/>
                    </a:ln>
                  </pic:spPr>
                </pic:pic>
              </a:graphicData>
            </a:graphic>
          </wp:anchor>
        </w:drawing>
      </w: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r>
        <w:rPr>
          <w:rFonts w:ascii="Arial" w:hAnsi="Arial" w:cs="Arial"/>
          <w:b/>
          <w:sz w:val="24"/>
          <w:szCs w:val="24"/>
        </w:rPr>
        <w:t>Desi Sari Ayundari</w:t>
      </w:r>
    </w:p>
    <w:p>
      <w:pPr>
        <w:spacing w:line="240" w:lineRule="auto"/>
        <w:jc w:val="center"/>
        <w:rPr>
          <w:rFonts w:ascii="Arial" w:hAnsi="Arial" w:cs="Arial"/>
          <w:b/>
          <w:sz w:val="24"/>
          <w:szCs w:val="24"/>
        </w:rPr>
      </w:pPr>
      <w:r>
        <w:rPr>
          <w:rFonts w:ascii="Arial" w:hAnsi="Arial" w:cs="Arial"/>
          <w:b/>
          <w:sz w:val="24"/>
          <w:szCs w:val="24"/>
        </w:rPr>
        <w:t>NIM : 1311308240288</w:t>
      </w: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p>
    <w:p>
      <w:pPr>
        <w:spacing w:line="240" w:lineRule="auto"/>
        <w:jc w:val="center"/>
        <w:rPr>
          <w:rFonts w:ascii="Arial" w:hAnsi="Arial" w:cs="Arial"/>
          <w:b/>
          <w:sz w:val="24"/>
          <w:szCs w:val="24"/>
        </w:rPr>
      </w:pPr>
      <w:r>
        <w:rPr>
          <w:rFonts w:ascii="Arial" w:hAnsi="Arial" w:cs="Arial"/>
          <w:b/>
          <w:sz w:val="24"/>
          <w:szCs w:val="24"/>
        </w:rPr>
        <w:t>PROGRAM STUDI ILMU KESEHATAN MASYARAKAT</w:t>
      </w:r>
    </w:p>
    <w:p>
      <w:pPr>
        <w:spacing w:line="240" w:lineRule="auto"/>
        <w:jc w:val="center"/>
        <w:rPr>
          <w:rFonts w:ascii="Arial" w:hAnsi="Arial" w:cs="Arial"/>
          <w:b/>
          <w:sz w:val="24"/>
          <w:szCs w:val="24"/>
        </w:rPr>
      </w:pPr>
      <w:r>
        <w:rPr>
          <w:rFonts w:ascii="Arial" w:hAnsi="Arial" w:cs="Arial"/>
          <w:b/>
          <w:sz w:val="24"/>
          <w:szCs w:val="24"/>
        </w:rPr>
        <w:t>SEKOLAH TINGGI ILMU KESEHATAN MUHAMMADIYAH</w:t>
      </w:r>
    </w:p>
    <w:p>
      <w:pPr>
        <w:tabs>
          <w:tab w:val="center" w:pos="4150"/>
          <w:tab w:val="left" w:pos="5274"/>
        </w:tabs>
        <w:spacing w:line="240" w:lineRule="auto"/>
        <w:jc w:val="center"/>
        <w:rPr>
          <w:rFonts w:ascii="Arial" w:hAnsi="Arial" w:cs="Arial"/>
          <w:b/>
          <w:sz w:val="24"/>
          <w:szCs w:val="24"/>
        </w:rPr>
      </w:pPr>
      <w:r>
        <w:rPr>
          <w:rFonts w:ascii="Arial" w:hAnsi="Arial" w:cs="Arial"/>
          <w:b/>
          <w:sz w:val="24"/>
          <w:szCs w:val="24"/>
        </w:rPr>
        <w:t>SAMARINDA</w:t>
      </w:r>
    </w:p>
    <w:p>
      <w:pPr>
        <w:spacing w:line="240" w:lineRule="auto"/>
        <w:jc w:val="center"/>
        <w:rPr>
          <w:rFonts w:ascii="Arial" w:hAnsi="Arial" w:cs="Arial"/>
          <w:b/>
          <w:sz w:val="24"/>
          <w:szCs w:val="24"/>
        </w:rPr>
      </w:pPr>
      <w:r>
        <w:rPr>
          <w:rFonts w:ascii="Arial" w:hAnsi="Arial" w:cs="Arial"/>
          <w:b/>
          <w:sz w:val="24"/>
          <w:szCs w:val="24"/>
        </w:rPr>
        <w:t>2017</w:t>
      </w:r>
    </w:p>
    <w:p>
      <w:pPr>
        <w:spacing w:line="240" w:lineRule="auto"/>
        <w:jc w:val="center"/>
        <w:rPr>
          <w:rFonts w:ascii="Arial" w:hAnsi="Arial" w:cs="Arial"/>
          <w:b/>
          <w:sz w:val="24"/>
          <w:szCs w:val="24"/>
        </w:rPr>
      </w:pPr>
    </w:p>
    <w:p>
      <w:pPr>
        <w:spacing w:line="240" w:lineRule="auto"/>
        <w:ind w:left="0" w:firstLine="0"/>
        <w:rPr>
          <w:rFonts w:ascii="Arial" w:hAnsi="Arial" w:cs="Arial"/>
          <w:b/>
          <w:sz w:val="24"/>
          <w:szCs w:val="24"/>
        </w:rPr>
      </w:pPr>
      <w:r>
        <w:rPr>
          <w:rFonts w:ascii="Arial" w:hAnsi="Arial" w:cs="Arial"/>
          <w:b/>
          <w:sz w:val="24"/>
          <w:szCs w:val="24"/>
        </w:rPr>
        <w:drawing>
          <wp:inline distT="0" distB="0" distL="0" distR="0">
            <wp:extent cx="5401945" cy="7425055"/>
            <wp:effectExtent l="19050" t="0" r="8255" b="0"/>
            <wp:docPr id="2" name="Picture 0" descr="Scan_20170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Scan_20170822.jpg"/>
                    <pic:cNvPicPr>
                      <a:picLocks noChangeAspect="1"/>
                    </pic:cNvPicPr>
                  </pic:nvPicPr>
                  <pic:blipFill>
                    <a:blip r:embed="rId5"/>
                    <a:stretch>
                      <a:fillRect/>
                    </a:stretch>
                  </pic:blipFill>
                  <pic:spPr>
                    <a:xfrm>
                      <a:off x="0" y="0"/>
                      <a:ext cx="5401945" cy="7425294"/>
                    </a:xfrm>
                    <a:prstGeom prst="rect">
                      <a:avLst/>
                    </a:prstGeom>
                  </pic:spPr>
                </pic:pic>
              </a:graphicData>
            </a:graphic>
          </wp:inline>
        </w:drawing>
      </w: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r>
        <w:rPr>
          <w:rFonts w:ascii="Arial" w:hAnsi="Arial" w:cs="Arial"/>
          <w:b/>
          <w:sz w:val="24"/>
          <w:szCs w:val="24"/>
        </w:rPr>
        <w:drawing>
          <wp:inline distT="0" distB="0" distL="0" distR="0">
            <wp:extent cx="5401945" cy="7425055"/>
            <wp:effectExtent l="19050" t="0" r="8255" b="0"/>
            <wp:docPr id="4" name="Picture 3" descr="Naskah Publik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Naskah Publikasi.jpg"/>
                    <pic:cNvPicPr>
                      <a:picLocks noChangeAspect="1"/>
                    </pic:cNvPicPr>
                  </pic:nvPicPr>
                  <pic:blipFill>
                    <a:blip r:embed="rId6"/>
                    <a:stretch>
                      <a:fillRect/>
                    </a:stretch>
                  </pic:blipFill>
                  <pic:spPr>
                    <a:xfrm>
                      <a:off x="0" y="0"/>
                      <a:ext cx="5401945" cy="7425294"/>
                    </a:xfrm>
                    <a:prstGeom prst="rect">
                      <a:avLst/>
                    </a:prstGeom>
                  </pic:spPr>
                </pic:pic>
              </a:graphicData>
            </a:graphic>
          </wp:inline>
        </w:drawing>
      </w: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bookmarkStart w:id="0" w:name="_GoBack"/>
      <w:bookmarkEnd w:id="0"/>
    </w:p>
    <w:p>
      <w:pPr>
        <w:spacing w:line="240" w:lineRule="auto"/>
        <w:ind w:left="0" w:firstLine="0"/>
        <w:jc w:val="center"/>
        <w:rPr>
          <w:rFonts w:ascii="Arial" w:hAnsi="Arial" w:cs="Arial"/>
          <w:b/>
          <w:sz w:val="20"/>
          <w:szCs w:val="20"/>
        </w:rPr>
      </w:pPr>
      <w:r>
        <w:rPr>
          <w:rFonts w:ascii="Arial" w:hAnsi="Arial" w:cs="Arial"/>
          <w:b/>
          <w:sz w:val="20"/>
          <w:szCs w:val="20"/>
        </w:rPr>
        <w:t xml:space="preserve">Hubungan Peran Kader Kesehatan Remaja </w:t>
      </w:r>
      <w:r>
        <w:rPr>
          <w:rFonts w:ascii="Arial" w:hAnsi="Arial" w:cs="Arial"/>
          <w:b/>
          <w:sz w:val="20"/>
          <w:szCs w:val="20"/>
          <w:lang w:val="en-US"/>
        </w:rPr>
        <w:t>d</w:t>
      </w:r>
      <w:r>
        <w:rPr>
          <w:rFonts w:ascii="Arial" w:hAnsi="Arial" w:cs="Arial"/>
          <w:b/>
          <w:sz w:val="20"/>
          <w:szCs w:val="20"/>
        </w:rPr>
        <w:t>engan</w:t>
      </w:r>
    </w:p>
    <w:p>
      <w:pPr>
        <w:spacing w:line="240" w:lineRule="auto"/>
        <w:ind w:left="0" w:firstLine="0"/>
        <w:jc w:val="center"/>
        <w:rPr>
          <w:rFonts w:ascii="Arial" w:hAnsi="Arial" w:cs="Arial"/>
          <w:b/>
          <w:sz w:val="20"/>
          <w:szCs w:val="20"/>
        </w:rPr>
      </w:pPr>
      <w:r>
        <w:rPr>
          <w:rFonts w:ascii="Arial" w:hAnsi="Arial" w:cs="Arial"/>
          <w:b/>
          <w:sz w:val="20"/>
          <w:szCs w:val="20"/>
        </w:rPr>
        <w:t>Tingkat Pengetahuan Kesehatan Reproduksi</w:t>
      </w:r>
    </w:p>
    <w:p>
      <w:pPr>
        <w:spacing w:line="240" w:lineRule="auto"/>
        <w:ind w:left="0" w:firstLine="0"/>
        <w:jc w:val="center"/>
        <w:rPr>
          <w:rFonts w:ascii="Arial" w:hAnsi="Arial" w:cs="Arial"/>
          <w:b/>
          <w:sz w:val="20"/>
          <w:szCs w:val="20"/>
        </w:rPr>
      </w:pPr>
      <w:r>
        <w:rPr>
          <w:rFonts w:ascii="Arial" w:hAnsi="Arial" w:cs="Arial"/>
          <w:b/>
          <w:sz w:val="20"/>
          <w:szCs w:val="20"/>
          <w:lang w:val="en-US"/>
        </w:rPr>
        <w:t>p</w:t>
      </w:r>
      <w:r>
        <w:rPr>
          <w:rFonts w:ascii="Arial" w:hAnsi="Arial" w:cs="Arial"/>
          <w:b/>
          <w:sz w:val="20"/>
          <w:szCs w:val="20"/>
        </w:rPr>
        <w:t>ada Siswa-Siswi S</w:t>
      </w:r>
      <w:r>
        <w:rPr>
          <w:rFonts w:ascii="Arial" w:hAnsi="Arial" w:cs="Arial"/>
          <w:b/>
          <w:sz w:val="20"/>
          <w:szCs w:val="20"/>
          <w:lang w:val="en-US"/>
        </w:rPr>
        <w:t>MP</w:t>
      </w:r>
      <w:r>
        <w:rPr>
          <w:rFonts w:ascii="Arial" w:hAnsi="Arial" w:cs="Arial"/>
          <w:b/>
          <w:sz w:val="20"/>
          <w:szCs w:val="20"/>
        </w:rPr>
        <w:t xml:space="preserve"> Al-Azhar Syifa Budi</w:t>
      </w:r>
    </w:p>
    <w:p>
      <w:pPr>
        <w:spacing w:line="240" w:lineRule="auto"/>
        <w:ind w:left="0" w:firstLine="0"/>
        <w:jc w:val="center"/>
        <w:rPr>
          <w:rFonts w:ascii="Arial" w:hAnsi="Arial" w:cs="Arial"/>
          <w:b/>
          <w:sz w:val="20"/>
          <w:szCs w:val="20"/>
        </w:rPr>
      </w:pPr>
      <w:r>
        <w:rPr>
          <w:rFonts w:ascii="Arial" w:hAnsi="Arial" w:cs="Arial"/>
          <w:b/>
          <w:sz w:val="20"/>
          <w:szCs w:val="20"/>
        </w:rPr>
        <w:t>Samarinda</w:t>
      </w:r>
    </w:p>
    <w:p>
      <w:pPr>
        <w:spacing w:line="240" w:lineRule="auto"/>
        <w:ind w:left="0" w:firstLine="0"/>
        <w:jc w:val="center"/>
        <w:rPr>
          <w:rFonts w:ascii="Arial" w:hAnsi="Arial" w:cs="Arial"/>
          <w:b/>
          <w:sz w:val="20"/>
          <w:szCs w:val="20"/>
        </w:rPr>
      </w:pPr>
    </w:p>
    <w:p>
      <w:pPr>
        <w:spacing w:line="240" w:lineRule="auto"/>
        <w:ind w:left="0" w:firstLine="0"/>
        <w:jc w:val="center"/>
        <w:rPr>
          <w:rFonts w:ascii="Arial" w:hAnsi="Arial" w:cs="Arial"/>
          <w:sz w:val="20"/>
          <w:szCs w:val="20"/>
        </w:rPr>
      </w:pPr>
      <w:r>
        <w:rPr>
          <w:rFonts w:ascii="Arial" w:hAnsi="Arial" w:cs="Arial"/>
          <w:sz w:val="20"/>
          <w:szCs w:val="20"/>
        </w:rPr>
        <w:t>Desi Sari Ayundari</w:t>
      </w:r>
      <w:r>
        <w:rPr>
          <w:rFonts w:ascii="Arial" w:hAnsi="Arial" w:cs="Arial"/>
          <w:sz w:val="20"/>
          <w:szCs w:val="20"/>
          <w:vertAlign w:val="superscript"/>
        </w:rPr>
        <w:t>1</w:t>
      </w:r>
      <w:r>
        <w:rPr>
          <w:rFonts w:ascii="Arial" w:hAnsi="Arial" w:cs="Arial"/>
          <w:sz w:val="20"/>
          <w:szCs w:val="20"/>
        </w:rPr>
        <w:t xml:space="preserve"> Ferry Fadzlul Rahman</w:t>
      </w:r>
      <w:r>
        <w:rPr>
          <w:rFonts w:ascii="Arial" w:hAnsi="Arial" w:cs="Arial"/>
          <w:sz w:val="20"/>
          <w:szCs w:val="20"/>
          <w:vertAlign w:val="superscript"/>
        </w:rPr>
        <w:t>2</w:t>
      </w:r>
    </w:p>
    <w:p>
      <w:pPr>
        <w:spacing w:line="240" w:lineRule="auto"/>
        <w:ind w:left="0" w:firstLine="0"/>
        <w:jc w:val="center"/>
        <w:rPr>
          <w:rFonts w:ascii="Arial" w:hAnsi="Arial" w:cs="Arial"/>
          <w:sz w:val="20"/>
          <w:szCs w:val="20"/>
        </w:rPr>
      </w:pPr>
    </w:p>
    <w:p>
      <w:pPr>
        <w:spacing w:line="240" w:lineRule="auto"/>
        <w:ind w:left="0" w:firstLine="0"/>
        <w:jc w:val="center"/>
        <w:rPr>
          <w:rFonts w:ascii="Arial" w:hAnsi="Arial" w:cs="Arial"/>
          <w:b/>
          <w:sz w:val="20"/>
          <w:szCs w:val="20"/>
        </w:rPr>
      </w:pPr>
      <w:r>
        <w:rPr>
          <w:rFonts w:ascii="Arial" w:hAnsi="Arial" w:cs="Arial"/>
          <w:b/>
          <w:sz w:val="20"/>
          <w:szCs w:val="20"/>
        </w:rPr>
        <w:t>INTISARI</w:t>
      </w:r>
    </w:p>
    <w:p>
      <w:pPr>
        <w:spacing w:line="240" w:lineRule="auto"/>
        <w:ind w:left="0" w:firstLine="0"/>
        <w:jc w:val="center"/>
        <w:rPr>
          <w:rFonts w:ascii="Arial" w:hAnsi="Arial" w:cs="Arial"/>
          <w:b/>
          <w:sz w:val="20"/>
          <w:szCs w:val="20"/>
        </w:rPr>
      </w:pPr>
    </w:p>
    <w:p>
      <w:pPr>
        <w:spacing w:line="240" w:lineRule="auto"/>
        <w:ind w:left="0" w:firstLine="0"/>
        <w:rPr>
          <w:rFonts w:ascii="Arial" w:hAnsi="Arial" w:cs="Arial"/>
          <w:sz w:val="20"/>
          <w:szCs w:val="24"/>
          <w:lang w:val="id-ID"/>
        </w:rPr>
      </w:pPr>
      <w:r>
        <w:rPr>
          <w:rFonts w:ascii="Arial" w:hAnsi="Arial" w:cs="Arial"/>
          <w:b/>
          <w:sz w:val="20"/>
          <w:szCs w:val="24"/>
        </w:rPr>
        <w:t xml:space="preserve">Latar Belakang </w:t>
      </w:r>
      <w:r>
        <w:rPr>
          <w:rFonts w:ascii="Arial" w:hAnsi="Arial" w:cs="Arial"/>
          <w:b/>
          <w:sz w:val="20"/>
          <w:szCs w:val="24"/>
        </w:rPr>
        <w:tab/>
      </w:r>
      <w:r>
        <w:rPr>
          <w:rFonts w:ascii="Arial" w:hAnsi="Arial" w:cs="Arial"/>
          <w:b/>
          <w:sz w:val="20"/>
          <w:szCs w:val="24"/>
        </w:rPr>
        <w:t xml:space="preserve">: </w:t>
      </w:r>
      <w:r>
        <w:rPr>
          <w:rFonts w:ascii="Arial" w:hAnsi="Arial" w:cs="Arial"/>
          <w:sz w:val="20"/>
          <w:szCs w:val="20"/>
        </w:rPr>
        <w:t>Untuk mengatasi permasalahan remaja, Departemen Kesehatan RI telah memperkenalkan Pelayanan Kesehatan Peduli Remaja (PKPR) yang diadopsi dari WHO sejaktahun 2003 yang berbasis di Puskesmas</w:t>
      </w:r>
      <w:r>
        <w:rPr>
          <w:rFonts w:ascii="Arial" w:hAnsi="Arial" w:cs="Arial"/>
          <w:sz w:val="20"/>
          <w:szCs w:val="24"/>
        </w:rPr>
        <w:t>. SMP Al-Azhar Syifa Budi adalah salah satu sekolah yang sudah di bina langsung oleh petugas kesehatan dari puskesmas.</w:t>
      </w:r>
    </w:p>
    <w:p>
      <w:pPr>
        <w:spacing w:line="240" w:lineRule="auto"/>
        <w:ind w:left="0" w:firstLine="0"/>
        <w:rPr>
          <w:rFonts w:ascii="Arial" w:hAnsi="Arial" w:cs="Arial"/>
          <w:sz w:val="20"/>
          <w:szCs w:val="24"/>
          <w:lang w:val="id-ID"/>
        </w:rPr>
      </w:pPr>
      <w:r>
        <w:rPr>
          <w:rFonts w:ascii="Arial" w:hAnsi="Arial" w:cs="Arial"/>
          <w:b/>
          <w:sz w:val="20"/>
          <w:szCs w:val="24"/>
        </w:rPr>
        <w:t xml:space="preserve">Tujuan Penelitian : </w:t>
      </w:r>
      <w:r>
        <w:rPr>
          <w:rFonts w:ascii="Arial" w:hAnsi="Arial" w:cs="Arial"/>
          <w:sz w:val="20"/>
          <w:szCs w:val="24"/>
        </w:rPr>
        <w:t>Hubungan Peran Kader Kesehatan Remaja Dengan Tingkat Pengetahuan Kesehatan Reproduksi pada Siswa-siswi SMP Al-Azhar Syifa Budi Samarinda tahun 2017.</w:t>
      </w:r>
    </w:p>
    <w:p>
      <w:pPr>
        <w:spacing w:line="240" w:lineRule="auto"/>
        <w:ind w:left="0" w:firstLine="0"/>
        <w:rPr>
          <w:rFonts w:ascii="Arial" w:hAnsi="Arial" w:cs="Arial"/>
          <w:sz w:val="20"/>
          <w:szCs w:val="24"/>
          <w:lang w:val="id-ID"/>
        </w:rPr>
      </w:pPr>
      <w:r>
        <w:rPr>
          <w:rFonts w:ascii="Arial" w:hAnsi="Arial" w:cs="Arial"/>
          <w:b/>
          <w:sz w:val="20"/>
          <w:szCs w:val="24"/>
        </w:rPr>
        <w:t xml:space="preserve">Metode : </w:t>
      </w:r>
      <w:r>
        <w:rPr>
          <w:rFonts w:ascii="Arial" w:hAnsi="Arial" w:cs="Arial"/>
          <w:sz w:val="20"/>
          <w:szCs w:val="24"/>
        </w:rPr>
        <w:t xml:space="preserve">Jenis penelitian analitik dengan desain penelitian </w:t>
      </w:r>
      <w:r>
        <w:rPr>
          <w:rFonts w:ascii="Arial" w:hAnsi="Arial" w:cs="Arial"/>
          <w:i/>
          <w:sz w:val="20"/>
          <w:szCs w:val="24"/>
        </w:rPr>
        <w:t xml:space="preserve">Cross sectional </w:t>
      </w:r>
      <w:r>
        <w:rPr>
          <w:rFonts w:ascii="Arial" w:hAnsi="Arial" w:cs="Arial"/>
          <w:sz w:val="20"/>
          <w:szCs w:val="24"/>
        </w:rPr>
        <w:t xml:space="preserve">dan cara pengambilan sampel menggunakan teknik </w:t>
      </w:r>
      <w:r>
        <w:rPr>
          <w:rFonts w:ascii="Arial" w:hAnsi="Arial" w:cs="Arial"/>
          <w:i/>
          <w:sz w:val="20"/>
          <w:szCs w:val="24"/>
        </w:rPr>
        <w:t xml:space="preserve">Probability sampling </w:t>
      </w:r>
      <w:r>
        <w:rPr>
          <w:rFonts w:ascii="Arial" w:hAnsi="Arial" w:cs="Arial"/>
          <w:sz w:val="20"/>
          <w:szCs w:val="24"/>
        </w:rPr>
        <w:t xml:space="preserve">dengan </w:t>
      </w:r>
      <w:r>
        <w:rPr>
          <w:rFonts w:ascii="Arial" w:hAnsi="Arial" w:cs="Arial"/>
          <w:i/>
          <w:sz w:val="20"/>
          <w:szCs w:val="24"/>
        </w:rPr>
        <w:t>Propotional stratified random sampling</w:t>
      </w:r>
      <w:r>
        <w:rPr>
          <w:rFonts w:ascii="Arial" w:hAnsi="Arial" w:cs="Arial"/>
          <w:sz w:val="20"/>
          <w:szCs w:val="24"/>
        </w:rPr>
        <w:t>. Sampel dalam penelitian ini sebanyak 75 orang</w:t>
      </w:r>
      <w:r>
        <w:rPr>
          <w:rFonts w:ascii="Arial" w:hAnsi="Arial" w:cs="Arial"/>
          <w:sz w:val="20"/>
          <w:szCs w:val="24"/>
          <w:lang w:val="id-ID"/>
        </w:rPr>
        <w:t xml:space="preserve">, </w:t>
      </w:r>
      <w:r>
        <w:rPr>
          <w:rFonts w:ascii="Arial" w:hAnsi="Arial" w:cs="Arial"/>
          <w:sz w:val="20"/>
          <w:szCs w:val="24"/>
        </w:rPr>
        <w:t xml:space="preserve">data dikumpulkan dengan menggunakan </w:t>
      </w:r>
      <w:r>
        <w:rPr>
          <w:rFonts w:ascii="Arial" w:hAnsi="Arial" w:cs="Arial"/>
          <w:sz w:val="20"/>
          <w:szCs w:val="24"/>
          <w:lang w:val="id-ID"/>
        </w:rPr>
        <w:t xml:space="preserve">angket </w:t>
      </w:r>
      <w:r>
        <w:rPr>
          <w:rFonts w:ascii="Arial" w:hAnsi="Arial" w:cs="Arial"/>
          <w:sz w:val="20"/>
          <w:szCs w:val="24"/>
        </w:rPr>
        <w:t xml:space="preserve">.Uji validitas menggunakan product </w:t>
      </w:r>
      <w:r>
        <w:rPr>
          <w:rFonts w:ascii="Arial" w:hAnsi="Arial" w:cs="Arial"/>
          <w:i/>
          <w:sz w:val="20"/>
          <w:szCs w:val="24"/>
        </w:rPr>
        <w:t xml:space="preserve">moment </w:t>
      </w:r>
      <w:r>
        <w:rPr>
          <w:rFonts w:ascii="Arial" w:hAnsi="Arial" w:cs="Arial"/>
          <w:sz w:val="20"/>
          <w:szCs w:val="24"/>
        </w:rPr>
        <w:t xml:space="preserve">dan uji realibitas menggunakan </w:t>
      </w:r>
      <w:r>
        <w:rPr>
          <w:rFonts w:ascii="Arial" w:hAnsi="Arial" w:cs="Arial"/>
          <w:i/>
          <w:sz w:val="20"/>
          <w:szCs w:val="24"/>
        </w:rPr>
        <w:t xml:space="preserve">alpha cronbach </w:t>
      </w:r>
      <w:r>
        <w:rPr>
          <w:rFonts w:ascii="Arial" w:hAnsi="Arial" w:cs="Arial"/>
          <w:sz w:val="20"/>
          <w:szCs w:val="24"/>
        </w:rPr>
        <w:t>di laksanakan di SMP Negeri 11.</w:t>
      </w:r>
    </w:p>
    <w:p>
      <w:pPr>
        <w:spacing w:line="240" w:lineRule="auto"/>
        <w:ind w:left="0" w:firstLine="0"/>
        <w:rPr>
          <w:rFonts w:ascii="Arial" w:hAnsi="Arial" w:cs="Arial"/>
          <w:sz w:val="20"/>
          <w:szCs w:val="24"/>
          <w:lang w:val="id-ID"/>
        </w:rPr>
      </w:pPr>
      <w:r>
        <w:rPr>
          <w:rFonts w:ascii="Arial" w:hAnsi="Arial" w:cs="Arial"/>
          <w:b/>
          <w:sz w:val="20"/>
          <w:szCs w:val="24"/>
        </w:rPr>
        <w:t xml:space="preserve">Hasil Penelitian :  </w:t>
      </w:r>
      <w:r>
        <w:rPr>
          <w:rFonts w:ascii="Arial" w:hAnsi="Arial" w:cs="Arial"/>
          <w:sz w:val="20"/>
          <w:szCs w:val="24"/>
        </w:rPr>
        <w:t xml:space="preserve">Berdasarkan hasil penelitian ini menemukan sebagian besar responden mempunyai tingkat pengetahuan yang cukup mengenai pengetahuan kesehatan reproduksi 52% dan 52% responden menilai baik peran kader kesehatan remaja. Hasil dari uji </w:t>
      </w:r>
      <w:r>
        <w:rPr>
          <w:rFonts w:ascii="Arial" w:hAnsi="Arial" w:cs="Arial"/>
          <w:i/>
          <w:sz w:val="20"/>
          <w:szCs w:val="24"/>
        </w:rPr>
        <w:t xml:space="preserve">Chi square </w:t>
      </w:r>
      <w:r>
        <w:rPr>
          <w:rFonts w:ascii="Arial" w:hAnsi="Arial" w:cs="Arial"/>
          <w:sz w:val="20"/>
          <w:szCs w:val="24"/>
        </w:rPr>
        <w:t xml:space="preserve">pada Peran kader kesehatan remaja dengan pengetahuan kesehatan reproduksi dengan </w:t>
      </w:r>
      <w:r>
        <w:rPr>
          <w:rFonts w:ascii="Arial" w:hAnsi="Arial" w:cs="Arial"/>
          <w:i/>
          <w:sz w:val="20"/>
          <w:szCs w:val="24"/>
        </w:rPr>
        <w:t>p-value</w:t>
      </w:r>
      <w:r>
        <w:rPr>
          <w:rFonts w:ascii="Arial" w:hAnsi="Arial" w:cs="Arial"/>
          <w:sz w:val="20"/>
          <w:szCs w:val="24"/>
        </w:rPr>
        <w:t xml:space="preserve"> = 0.177.</w:t>
      </w:r>
    </w:p>
    <w:p>
      <w:pPr>
        <w:spacing w:line="240" w:lineRule="auto"/>
        <w:ind w:left="0" w:firstLine="0"/>
        <w:rPr>
          <w:rFonts w:ascii="Arial" w:hAnsi="Arial" w:cs="Arial"/>
          <w:sz w:val="20"/>
          <w:szCs w:val="24"/>
        </w:rPr>
      </w:pPr>
      <w:r>
        <w:rPr>
          <w:rFonts w:ascii="Arial" w:hAnsi="Arial" w:cs="Arial"/>
          <w:b/>
          <w:sz w:val="20"/>
          <w:szCs w:val="24"/>
        </w:rPr>
        <w:t xml:space="preserve">Kesimpulan : </w:t>
      </w:r>
      <w:r>
        <w:rPr>
          <w:rFonts w:ascii="Arial" w:hAnsi="Arial" w:cs="Arial"/>
          <w:sz w:val="20"/>
          <w:szCs w:val="24"/>
        </w:rPr>
        <w:t>Tidak ada hubungan peran kader kesehatan remaja dengan tingkat pengetahuan kesehatan reproduksi pada siswa-siswi SMP Al-Azhar Syifa Budi Samarinda Tahun 2017.</w:t>
      </w:r>
    </w:p>
    <w:p>
      <w:pPr>
        <w:spacing w:line="240" w:lineRule="auto"/>
        <w:ind w:left="0" w:firstLine="0"/>
        <w:rPr>
          <w:rFonts w:ascii="Arial" w:hAnsi="Arial" w:cs="Arial"/>
          <w:sz w:val="20"/>
          <w:szCs w:val="24"/>
        </w:rPr>
      </w:pPr>
    </w:p>
    <w:p>
      <w:pPr>
        <w:spacing w:line="240" w:lineRule="auto"/>
        <w:ind w:left="0" w:firstLine="0"/>
        <w:rPr>
          <w:rFonts w:ascii="Arial" w:hAnsi="Arial" w:cs="Arial"/>
          <w:sz w:val="20"/>
          <w:szCs w:val="24"/>
        </w:rPr>
      </w:pPr>
      <w:r>
        <w:rPr>
          <w:rFonts w:ascii="Arial" w:hAnsi="Arial" w:cs="Arial"/>
          <w:b/>
          <w:sz w:val="20"/>
          <w:szCs w:val="24"/>
        </w:rPr>
        <w:t xml:space="preserve">Kata Kunci : </w:t>
      </w:r>
      <w:r>
        <w:rPr>
          <w:rFonts w:ascii="Arial" w:hAnsi="Arial" w:cs="Arial"/>
          <w:sz w:val="20"/>
          <w:szCs w:val="24"/>
        </w:rPr>
        <w:t>Peran Kader Kesehatan Remaja, Pengetahuan, Kesehatan Reproduksi.</w:t>
      </w:r>
    </w:p>
    <w:p>
      <w:pPr>
        <w:spacing w:line="240" w:lineRule="auto"/>
        <w:ind w:left="0" w:firstLine="0"/>
        <w:rPr>
          <w:rFonts w:ascii="Arial" w:hAnsi="Arial" w:cs="Arial"/>
          <w:b/>
          <w:i/>
          <w:sz w:val="20"/>
          <w:szCs w:val="24"/>
          <w:lang w:val="id-ID"/>
        </w:rPr>
      </w:pPr>
      <w:r>
        <w:rPr>
          <w:rFonts w:ascii="Arial" w:hAnsi="Arial" w:cs="Arial"/>
          <w:b/>
          <w:i/>
          <w:sz w:val="20"/>
          <w:szCs w:val="24"/>
        </w:rPr>
        <w:t>Keterangan :</w:t>
      </w:r>
    </w:p>
    <w:p>
      <w:pPr>
        <w:spacing w:line="240" w:lineRule="auto"/>
        <w:ind w:left="0" w:firstLine="0"/>
        <w:rPr>
          <w:rFonts w:ascii="Arial" w:hAnsi="Arial" w:cs="Arial"/>
          <w:i/>
          <w:sz w:val="20"/>
          <w:szCs w:val="24"/>
        </w:rPr>
      </w:pPr>
      <w:r>
        <w:rPr>
          <w:rFonts w:ascii="Arial" w:hAnsi="Arial" w:cs="Arial"/>
          <w:i/>
          <w:sz w:val="20"/>
          <w:szCs w:val="24"/>
        </w:rPr>
        <w:t>1. Mahasiswi Program Studi S1 Kesehatan Masyarakat, Peminatan Promosi Kesehatan Stikes Muhammadiyah Samarinda</w:t>
      </w:r>
    </w:p>
    <w:p>
      <w:pPr>
        <w:spacing w:line="240" w:lineRule="auto"/>
        <w:ind w:left="0" w:firstLine="0"/>
        <w:rPr>
          <w:rFonts w:ascii="Arial" w:hAnsi="Arial" w:cs="Arial"/>
          <w:i/>
          <w:sz w:val="20"/>
          <w:szCs w:val="24"/>
        </w:rPr>
      </w:pPr>
      <w:r>
        <w:rPr>
          <w:rFonts w:ascii="Arial" w:hAnsi="Arial" w:cs="Arial"/>
          <w:i/>
          <w:sz w:val="20"/>
          <w:szCs w:val="24"/>
        </w:rPr>
        <w:t>2. Dosen Pembimbing Program Studi S1 Kesehatan Masyarakat Stikes Muhammadiyah Samarind</w:t>
      </w:r>
      <w:r>
        <w:rPr>
          <w:rFonts w:ascii="Arial" w:hAnsi="Arial" w:cs="Arial"/>
          <w:i/>
          <w:sz w:val="20"/>
          <w:szCs w:val="24"/>
          <w:lang w:val="id-ID"/>
        </w:rPr>
        <w:t>a</w:t>
      </w: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ind w:left="0" w:firstLine="0"/>
        <w:rPr>
          <w:rFonts w:ascii="Arial" w:hAnsi="Arial" w:cs="Arial"/>
          <w:b/>
          <w:sz w:val="24"/>
          <w:szCs w:val="24"/>
        </w:rPr>
      </w:pPr>
    </w:p>
    <w:p>
      <w:pPr>
        <w:spacing w:line="240" w:lineRule="auto"/>
        <w:rPr>
          <w:rFonts w:ascii="Arial" w:hAnsi="Arial" w:cs="Arial"/>
          <w:b/>
          <w:sz w:val="20"/>
          <w:szCs w:val="20"/>
        </w:rPr>
      </w:pPr>
      <w:r>
        <w:rPr>
          <w:rFonts w:ascii="Arial" w:hAnsi="Arial" w:cs="Arial"/>
          <w:b/>
          <w:sz w:val="20"/>
          <w:szCs w:val="20"/>
        </w:rPr>
        <w:t>The Association Between Health Peer Educator</w:t>
      </w:r>
      <w:r>
        <w:rPr>
          <w:rFonts w:ascii="Arial" w:hAnsi="Arial" w:cs="Arial"/>
          <w:b/>
          <w:sz w:val="20"/>
          <w:szCs w:val="20"/>
          <w:lang w:val="en-US"/>
        </w:rPr>
        <w:t xml:space="preserve"> </w:t>
      </w:r>
      <w:r>
        <w:rPr>
          <w:rFonts w:ascii="Arial" w:hAnsi="Arial" w:cs="Arial"/>
          <w:b/>
          <w:sz w:val="20"/>
          <w:szCs w:val="20"/>
        </w:rPr>
        <w:t>Role</w:t>
      </w:r>
      <w:r>
        <w:rPr>
          <w:rFonts w:ascii="Arial" w:hAnsi="Arial" w:cs="Arial"/>
          <w:b/>
          <w:sz w:val="20"/>
          <w:szCs w:val="20"/>
          <w:lang w:val="en-US"/>
        </w:rPr>
        <w:t xml:space="preserve"> w</w:t>
      </w:r>
      <w:r>
        <w:rPr>
          <w:rFonts w:ascii="Arial" w:hAnsi="Arial" w:cs="Arial"/>
          <w:b/>
          <w:sz w:val="20"/>
          <w:szCs w:val="20"/>
        </w:rPr>
        <w:t xml:space="preserve">ith Reproductive Health Knowledge Level </w:t>
      </w:r>
      <w:r>
        <w:rPr>
          <w:rFonts w:ascii="Arial" w:hAnsi="Arial" w:cs="Arial"/>
          <w:b/>
          <w:sz w:val="20"/>
          <w:szCs w:val="20"/>
          <w:lang w:val="en-US"/>
        </w:rPr>
        <w:t>o</w:t>
      </w:r>
      <w:r>
        <w:rPr>
          <w:rFonts w:ascii="Arial" w:hAnsi="Arial" w:cs="Arial"/>
          <w:b/>
          <w:sz w:val="20"/>
          <w:szCs w:val="20"/>
        </w:rPr>
        <w:t xml:space="preserve">n </w:t>
      </w:r>
      <w:r>
        <w:rPr>
          <w:rFonts w:ascii="Arial" w:hAnsi="Arial" w:cs="Arial"/>
          <w:b/>
          <w:sz w:val="20"/>
          <w:szCs w:val="20"/>
          <w:lang w:val="en-US"/>
        </w:rPr>
        <w:t>t</w:t>
      </w:r>
      <w:r>
        <w:rPr>
          <w:rFonts w:ascii="Arial" w:hAnsi="Arial" w:cs="Arial"/>
          <w:b/>
          <w:sz w:val="20"/>
          <w:szCs w:val="20"/>
        </w:rPr>
        <w:t xml:space="preserve">he Students </w:t>
      </w:r>
      <w:r>
        <w:rPr>
          <w:rFonts w:ascii="Arial" w:hAnsi="Arial" w:cs="Arial"/>
          <w:b/>
          <w:sz w:val="20"/>
          <w:szCs w:val="20"/>
          <w:lang w:val="en-US"/>
        </w:rPr>
        <w:t>o</w:t>
      </w:r>
      <w:r>
        <w:rPr>
          <w:rFonts w:ascii="Arial" w:hAnsi="Arial" w:cs="Arial"/>
          <w:b/>
          <w:sz w:val="20"/>
          <w:szCs w:val="20"/>
        </w:rPr>
        <w:t>f</w:t>
      </w:r>
      <w:r>
        <w:rPr>
          <w:rFonts w:ascii="Arial" w:hAnsi="Arial" w:cs="Arial"/>
          <w:b/>
          <w:sz w:val="20"/>
          <w:szCs w:val="20"/>
          <w:lang w:val="en-US"/>
        </w:rPr>
        <w:t xml:space="preserve"> </w:t>
      </w:r>
      <w:r>
        <w:rPr>
          <w:rFonts w:ascii="Arial" w:hAnsi="Arial" w:cs="Arial"/>
          <w:b/>
          <w:sz w:val="20"/>
          <w:szCs w:val="20"/>
        </w:rPr>
        <w:t>S</w:t>
      </w:r>
      <w:r>
        <w:rPr>
          <w:rFonts w:ascii="Arial" w:hAnsi="Arial" w:cs="Arial"/>
          <w:b/>
          <w:sz w:val="20"/>
          <w:szCs w:val="20"/>
          <w:lang w:val="en-US"/>
        </w:rPr>
        <w:t>MP</w:t>
      </w:r>
      <w:r>
        <w:rPr>
          <w:rFonts w:ascii="Arial" w:hAnsi="Arial" w:cs="Arial"/>
          <w:b/>
          <w:sz w:val="20"/>
          <w:szCs w:val="20"/>
        </w:rPr>
        <w:t xml:space="preserve"> Al-Azhar Syifa Budi</w:t>
      </w:r>
      <w:r>
        <w:rPr>
          <w:rFonts w:ascii="Arial" w:hAnsi="Arial" w:cs="Arial"/>
          <w:b/>
          <w:sz w:val="20"/>
          <w:szCs w:val="20"/>
          <w:lang w:val="en-US"/>
        </w:rPr>
        <w:t xml:space="preserve"> </w:t>
      </w:r>
      <w:r>
        <w:rPr>
          <w:rFonts w:ascii="Arial" w:hAnsi="Arial" w:cs="Arial"/>
          <w:b/>
          <w:sz w:val="20"/>
          <w:szCs w:val="20"/>
        </w:rPr>
        <w:t>Samarinda</w:t>
      </w:r>
    </w:p>
    <w:p>
      <w:pPr>
        <w:spacing w:line="240" w:lineRule="auto"/>
        <w:jc w:val="center"/>
        <w:rPr>
          <w:rFonts w:ascii="Arial" w:hAnsi="Arial" w:cs="Arial"/>
          <w:b/>
          <w:sz w:val="20"/>
          <w:szCs w:val="20"/>
        </w:rPr>
      </w:pPr>
    </w:p>
    <w:p>
      <w:pPr>
        <w:spacing w:line="240" w:lineRule="auto"/>
        <w:jc w:val="center"/>
        <w:rPr>
          <w:rFonts w:ascii="Arial" w:hAnsi="Arial" w:cs="Arial"/>
          <w:b/>
          <w:sz w:val="20"/>
          <w:szCs w:val="20"/>
          <w:vertAlign w:val="superscript"/>
        </w:rPr>
      </w:pPr>
      <w:r>
        <w:rPr>
          <w:rFonts w:ascii="Arial" w:hAnsi="Arial" w:cs="Arial"/>
          <w:b/>
          <w:sz w:val="20"/>
          <w:szCs w:val="20"/>
        </w:rPr>
        <w:t>Ayundari, Desi Sari</w:t>
      </w:r>
      <w:r>
        <w:rPr>
          <w:rFonts w:ascii="Arial" w:hAnsi="Arial" w:cs="Arial"/>
          <w:b/>
          <w:sz w:val="20"/>
          <w:szCs w:val="20"/>
          <w:vertAlign w:val="superscript"/>
        </w:rPr>
        <w:t>1</w:t>
      </w:r>
      <w:r>
        <w:rPr>
          <w:rFonts w:ascii="Arial" w:hAnsi="Arial" w:cs="Arial"/>
          <w:b/>
          <w:sz w:val="20"/>
          <w:szCs w:val="20"/>
        </w:rPr>
        <w:t xml:space="preserve"> Rahman, Ferry Fadzlul</w:t>
      </w:r>
      <w:r>
        <w:rPr>
          <w:rFonts w:ascii="Arial" w:hAnsi="Arial" w:cs="Arial"/>
          <w:b/>
          <w:sz w:val="20"/>
          <w:szCs w:val="20"/>
          <w:vertAlign w:val="superscript"/>
        </w:rPr>
        <w:t>2</w:t>
      </w:r>
    </w:p>
    <w:p>
      <w:pPr>
        <w:spacing w:line="240" w:lineRule="auto"/>
        <w:jc w:val="center"/>
        <w:rPr>
          <w:rFonts w:ascii="Arial" w:hAnsi="Arial" w:cs="Arial"/>
          <w:b/>
          <w:sz w:val="20"/>
          <w:szCs w:val="20"/>
          <w:vertAlign w:val="superscript"/>
        </w:rPr>
      </w:pPr>
    </w:p>
    <w:p>
      <w:pPr>
        <w:spacing w:line="240" w:lineRule="auto"/>
        <w:jc w:val="center"/>
        <w:rPr>
          <w:rFonts w:ascii="Arial" w:hAnsi="Arial" w:cs="Arial"/>
          <w:b/>
          <w:sz w:val="20"/>
          <w:szCs w:val="20"/>
        </w:rPr>
      </w:pPr>
      <w:r>
        <w:rPr>
          <w:rFonts w:ascii="Arial" w:hAnsi="Arial" w:cs="Arial"/>
          <w:b/>
          <w:sz w:val="20"/>
          <w:szCs w:val="20"/>
        </w:rPr>
        <w:t>ABSTRACT</w:t>
      </w:r>
    </w:p>
    <w:p>
      <w:pPr>
        <w:spacing w:line="240" w:lineRule="auto"/>
        <w:ind w:left="360" w:firstLine="0"/>
        <w:rPr>
          <w:rFonts w:ascii="Arial" w:hAnsi="Arial" w:cs="Arial"/>
          <w:b/>
          <w:sz w:val="20"/>
          <w:szCs w:val="20"/>
        </w:rPr>
      </w:pPr>
      <w:r>
        <w:rPr>
          <w:rFonts w:ascii="Arial" w:hAnsi="Arial" w:cs="Arial"/>
          <w:b/>
          <w:sz w:val="20"/>
          <w:szCs w:val="24"/>
          <w:lang w:val="id-ID"/>
        </w:rPr>
        <w:t>Background</w:t>
      </w:r>
      <w:r>
        <w:rPr>
          <w:rFonts w:ascii="Arial" w:hAnsi="Arial" w:cs="Arial"/>
          <w:b/>
          <w:sz w:val="20"/>
          <w:szCs w:val="24"/>
        </w:rPr>
        <w:t xml:space="preserve"> </w:t>
      </w:r>
      <w:r>
        <w:rPr>
          <w:rFonts w:ascii="Arial" w:hAnsi="Arial" w:cs="Arial"/>
          <w:sz w:val="20"/>
          <w:szCs w:val="24"/>
          <w:lang w:val="id-ID"/>
        </w:rPr>
        <w:t xml:space="preserve">: To overcome the problems of adolescents, the Ministry of Health has launched </w:t>
      </w:r>
      <w:r>
        <w:rPr>
          <w:rFonts w:ascii="Arial" w:hAnsi="Arial" w:cs="Arial"/>
          <w:sz w:val="20"/>
          <w:szCs w:val="24"/>
        </w:rPr>
        <w:t xml:space="preserve">Youth </w:t>
      </w:r>
      <w:r>
        <w:rPr>
          <w:rFonts w:ascii="Arial" w:hAnsi="Arial" w:cs="Arial"/>
          <w:sz w:val="20"/>
          <w:szCs w:val="24"/>
          <w:lang w:val="id-ID"/>
        </w:rPr>
        <w:t>Care Health Services(PKPR),</w:t>
      </w:r>
      <w:r>
        <w:rPr>
          <w:rFonts w:ascii="Arial" w:hAnsi="Arial" w:cs="Arial"/>
          <w:sz w:val="20"/>
          <w:szCs w:val="24"/>
        </w:rPr>
        <w:t xml:space="preserve"> </w:t>
      </w:r>
      <w:r>
        <w:rPr>
          <w:rFonts w:ascii="Arial" w:hAnsi="Arial" w:cs="Arial"/>
          <w:sz w:val="20"/>
          <w:szCs w:val="24"/>
          <w:lang w:val="id-ID"/>
        </w:rPr>
        <w:t>to adopted from WHO since 2003 which is based in</w:t>
      </w:r>
      <w:r>
        <w:rPr>
          <w:rFonts w:ascii="Arial" w:hAnsi="Arial" w:cs="Arial"/>
          <w:sz w:val="20"/>
          <w:szCs w:val="24"/>
        </w:rPr>
        <w:t xml:space="preserve"> Public Health Center</w:t>
      </w:r>
      <w:r>
        <w:rPr>
          <w:rFonts w:ascii="Arial" w:hAnsi="Arial" w:cs="Arial"/>
          <w:sz w:val="20"/>
          <w:szCs w:val="24"/>
          <w:lang w:val="id-ID"/>
        </w:rPr>
        <w:t xml:space="preserve"> throughout Indonesia have done PKPR. The activities of PKPR are the provision of information and education and training of Peer Counselor.</w:t>
      </w:r>
      <w:r>
        <w:rPr>
          <w:rFonts w:ascii="Arial" w:hAnsi="Arial" w:cs="Arial"/>
          <w:sz w:val="20"/>
          <w:szCs w:val="24"/>
        </w:rPr>
        <w:t xml:space="preserve"> SMP Al-Azhar Syifa Budi is one of the schools that have been built directly by health workers from health centers.</w:t>
      </w:r>
    </w:p>
    <w:p>
      <w:pPr>
        <w:spacing w:line="240" w:lineRule="auto"/>
        <w:ind w:left="360" w:firstLine="0"/>
        <w:rPr>
          <w:rFonts w:ascii="Arial" w:hAnsi="Arial" w:cs="Arial"/>
          <w:sz w:val="20"/>
          <w:szCs w:val="20"/>
        </w:rPr>
      </w:pPr>
      <w:r>
        <w:rPr>
          <w:rFonts w:ascii="Arial" w:hAnsi="Arial" w:cs="Arial"/>
          <w:b/>
          <w:sz w:val="20"/>
          <w:szCs w:val="20"/>
        </w:rPr>
        <w:t xml:space="preserve">Research Objective </w:t>
      </w:r>
      <w:r>
        <w:rPr>
          <w:rFonts w:ascii="Arial" w:hAnsi="Arial" w:cs="Arial"/>
          <w:sz w:val="20"/>
          <w:szCs w:val="20"/>
        </w:rPr>
        <w:t>: The association between health peer educator role with reproductive health knowledge level on the students of SMP Al-Azhar Syifa Budi Samarinda in 2017.</w:t>
      </w:r>
    </w:p>
    <w:p>
      <w:pPr>
        <w:spacing w:line="240" w:lineRule="auto"/>
        <w:ind w:left="360" w:firstLine="0"/>
        <w:rPr>
          <w:rFonts w:ascii="Arial" w:hAnsi="Arial" w:cs="Arial"/>
          <w:sz w:val="20"/>
          <w:szCs w:val="20"/>
        </w:rPr>
      </w:pPr>
      <w:r>
        <w:rPr>
          <w:rFonts w:ascii="Arial" w:hAnsi="Arial" w:cs="Arial"/>
          <w:b/>
          <w:sz w:val="20"/>
          <w:szCs w:val="24"/>
          <w:lang w:val="id-ID"/>
        </w:rPr>
        <w:t>Method</w:t>
      </w:r>
      <w:r>
        <w:rPr>
          <w:rFonts w:ascii="Arial" w:hAnsi="Arial" w:cs="Arial"/>
          <w:b/>
          <w:sz w:val="20"/>
          <w:szCs w:val="24"/>
        </w:rPr>
        <w:t xml:space="preserve"> </w:t>
      </w:r>
      <w:r>
        <w:rPr>
          <w:rFonts w:ascii="Arial" w:hAnsi="Arial" w:cs="Arial"/>
          <w:sz w:val="20"/>
          <w:szCs w:val="24"/>
          <w:lang w:val="id-ID"/>
        </w:rPr>
        <w:t xml:space="preserve">: </w:t>
      </w:r>
      <w:r>
        <w:rPr>
          <w:rFonts w:ascii="Arial" w:hAnsi="Arial" w:cs="Arial"/>
          <w:sz w:val="20"/>
          <w:szCs w:val="24"/>
        </w:rPr>
        <w:t>Kind</w:t>
      </w:r>
      <w:r>
        <w:rPr>
          <w:rFonts w:ascii="Arial" w:hAnsi="Arial" w:cs="Arial"/>
          <w:sz w:val="20"/>
          <w:szCs w:val="24"/>
          <w:lang w:val="id-ID"/>
        </w:rPr>
        <w:t xml:space="preserve"> of analytic research with cross sectional research design and sampling method us</w:t>
      </w:r>
      <w:r>
        <w:rPr>
          <w:rFonts w:ascii="Arial" w:hAnsi="Arial" w:cs="Arial"/>
          <w:sz w:val="20"/>
          <w:szCs w:val="24"/>
        </w:rPr>
        <w:t>ed</w:t>
      </w:r>
      <w:r>
        <w:rPr>
          <w:rFonts w:ascii="Arial" w:hAnsi="Arial" w:cs="Arial"/>
          <w:sz w:val="20"/>
          <w:szCs w:val="24"/>
          <w:lang w:val="id-ID"/>
        </w:rPr>
        <w:t xml:space="preserve"> Probability sampling technique with Propotional stratified random sampling. The sample in this study </w:t>
      </w:r>
      <w:r>
        <w:rPr>
          <w:rFonts w:ascii="Arial" w:hAnsi="Arial" w:cs="Arial"/>
          <w:sz w:val="20"/>
          <w:szCs w:val="24"/>
        </w:rPr>
        <w:t>was</w:t>
      </w:r>
      <w:r>
        <w:rPr>
          <w:rFonts w:ascii="Arial" w:hAnsi="Arial" w:cs="Arial"/>
          <w:sz w:val="20"/>
          <w:szCs w:val="24"/>
          <w:lang w:val="id-ID"/>
        </w:rPr>
        <w:t xml:space="preserve"> 75 people, the data </w:t>
      </w:r>
      <w:r>
        <w:rPr>
          <w:rFonts w:ascii="Arial" w:hAnsi="Arial" w:cs="Arial"/>
          <w:sz w:val="20"/>
          <w:szCs w:val="24"/>
        </w:rPr>
        <w:t xml:space="preserve">were </w:t>
      </w:r>
      <w:r>
        <w:rPr>
          <w:rFonts w:ascii="Arial" w:hAnsi="Arial" w:cs="Arial"/>
          <w:sz w:val="20"/>
          <w:szCs w:val="24"/>
          <w:lang w:val="id-ID"/>
        </w:rPr>
        <w:t>collected by using questionnaire</w:t>
      </w:r>
      <w:r>
        <w:rPr>
          <w:rFonts w:ascii="Arial" w:hAnsi="Arial" w:cs="Arial"/>
          <w:sz w:val="20"/>
          <w:szCs w:val="24"/>
        </w:rPr>
        <w:t>.Validity test using product moment and reliability test using alpha cronbach in executed at SMP Negeri 11.</w:t>
      </w:r>
    </w:p>
    <w:p>
      <w:pPr>
        <w:spacing w:line="240" w:lineRule="auto"/>
        <w:ind w:left="360" w:firstLine="0"/>
        <w:rPr>
          <w:rFonts w:ascii="Arial" w:hAnsi="Arial" w:cs="Arial"/>
          <w:sz w:val="20"/>
          <w:szCs w:val="20"/>
        </w:rPr>
      </w:pPr>
      <w:r>
        <w:rPr>
          <w:rFonts w:ascii="Arial" w:hAnsi="Arial" w:cs="Arial"/>
          <w:b/>
          <w:sz w:val="20"/>
          <w:szCs w:val="20"/>
        </w:rPr>
        <w:t xml:space="preserve">Result </w:t>
      </w:r>
      <w:r>
        <w:rPr>
          <w:rFonts w:ascii="Arial" w:hAnsi="Arial" w:cs="Arial"/>
          <w:sz w:val="20"/>
          <w:szCs w:val="20"/>
        </w:rPr>
        <w:t>: Based on the result of this study found most respondents have a sufficient level of reproductive health 52% and 52% of respondents rate both the role of teenage health cadres. The results of chi square test on the health peer educator with reproductive health knowledge level with p-value 0,177.</w:t>
      </w:r>
    </w:p>
    <w:p>
      <w:pPr>
        <w:spacing w:line="240" w:lineRule="auto"/>
        <w:ind w:left="360" w:firstLine="0"/>
        <w:rPr>
          <w:rFonts w:ascii="Arial" w:hAnsi="Arial" w:cs="Arial"/>
          <w:sz w:val="20"/>
          <w:szCs w:val="20"/>
        </w:rPr>
      </w:pPr>
      <w:r>
        <w:rPr>
          <w:rFonts w:ascii="Arial" w:hAnsi="Arial" w:cs="Arial"/>
          <w:b/>
          <w:sz w:val="20"/>
          <w:szCs w:val="24"/>
          <w:lang w:val="id-ID"/>
        </w:rPr>
        <w:t>Conclusion</w:t>
      </w:r>
      <w:r>
        <w:rPr>
          <w:rFonts w:ascii="Arial" w:hAnsi="Arial" w:cs="Arial"/>
          <w:b/>
          <w:sz w:val="20"/>
          <w:szCs w:val="24"/>
        </w:rPr>
        <w:t xml:space="preserve"> </w:t>
      </w:r>
      <w:r>
        <w:rPr>
          <w:rFonts w:ascii="Arial" w:hAnsi="Arial" w:cs="Arial"/>
          <w:sz w:val="20"/>
          <w:szCs w:val="24"/>
          <w:lang w:val="id-ID"/>
        </w:rPr>
        <w:t>: There is no rela</w:t>
      </w:r>
      <w:r>
        <w:rPr>
          <w:rFonts w:ascii="Arial" w:hAnsi="Arial" w:cs="Arial"/>
          <w:sz w:val="20"/>
          <w:szCs w:val="24"/>
        </w:rPr>
        <w:t>tion</w:t>
      </w:r>
      <w:r>
        <w:rPr>
          <w:rFonts w:ascii="Arial" w:hAnsi="Arial" w:cs="Arial"/>
          <w:sz w:val="20"/>
          <w:szCs w:val="24"/>
          <w:lang w:val="id-ID"/>
        </w:rPr>
        <w:t xml:space="preserve"> of </w:t>
      </w:r>
      <w:r>
        <w:rPr>
          <w:rFonts w:ascii="Arial" w:hAnsi="Arial" w:cs="Arial"/>
          <w:sz w:val="20"/>
          <w:szCs w:val="20"/>
        </w:rPr>
        <w:t>the association between health peer educator role with reproductive health knowledge level on the students of SMP Al-Azhar Syifa Budi Samarinda in 2017.</w:t>
      </w:r>
    </w:p>
    <w:p>
      <w:pPr>
        <w:spacing w:line="240" w:lineRule="auto"/>
        <w:ind w:left="360" w:firstLine="0"/>
        <w:rPr>
          <w:rFonts w:ascii="Arial" w:hAnsi="Arial" w:cs="Arial"/>
          <w:sz w:val="20"/>
          <w:szCs w:val="24"/>
        </w:rPr>
      </w:pPr>
      <w:r>
        <w:rPr>
          <w:rFonts w:ascii="Arial" w:hAnsi="Arial" w:cs="Arial"/>
          <w:b/>
          <w:sz w:val="20"/>
          <w:szCs w:val="24"/>
          <w:lang w:val="id-ID"/>
        </w:rPr>
        <w:t>Keywords</w:t>
      </w:r>
      <w:r>
        <w:rPr>
          <w:rFonts w:ascii="Arial" w:hAnsi="Arial" w:cs="Arial"/>
          <w:b/>
          <w:sz w:val="20"/>
          <w:szCs w:val="24"/>
        </w:rPr>
        <w:t xml:space="preserve"> </w:t>
      </w:r>
      <w:r>
        <w:rPr>
          <w:rFonts w:ascii="Arial" w:hAnsi="Arial" w:cs="Arial"/>
          <w:sz w:val="20"/>
          <w:szCs w:val="24"/>
          <w:lang w:val="id-ID"/>
        </w:rPr>
        <w:t xml:space="preserve">: </w:t>
      </w:r>
      <w:r>
        <w:rPr>
          <w:rFonts w:ascii="Arial" w:hAnsi="Arial" w:cs="Arial"/>
          <w:sz w:val="20"/>
          <w:szCs w:val="24"/>
        </w:rPr>
        <w:t>Health Peer Educator role</w:t>
      </w:r>
      <w:r>
        <w:rPr>
          <w:rFonts w:ascii="Arial" w:hAnsi="Arial" w:cs="Arial"/>
          <w:sz w:val="20"/>
          <w:szCs w:val="24"/>
          <w:lang w:val="id-ID"/>
        </w:rPr>
        <w:t>, Knowledge, Reproductive Health</w:t>
      </w:r>
      <w:r>
        <w:rPr>
          <w:rFonts w:ascii="Arial" w:hAnsi="Arial" w:cs="Arial"/>
          <w:sz w:val="20"/>
          <w:szCs w:val="24"/>
        </w:rPr>
        <w:t>.</w:t>
      </w:r>
    </w:p>
    <w:p>
      <w:pPr>
        <w:spacing w:line="240" w:lineRule="auto"/>
        <w:ind w:left="360" w:firstLine="0"/>
        <w:rPr>
          <w:rFonts w:ascii="Arial" w:hAnsi="Arial" w:cs="Arial"/>
          <w:sz w:val="20"/>
          <w:szCs w:val="20"/>
        </w:rPr>
      </w:pPr>
    </w:p>
    <w:p>
      <w:pPr>
        <w:spacing w:line="240" w:lineRule="auto"/>
        <w:ind w:left="360" w:firstLine="0"/>
        <w:rPr>
          <w:rFonts w:ascii="Arial" w:hAnsi="Arial" w:cs="Arial"/>
          <w:sz w:val="20"/>
          <w:szCs w:val="20"/>
        </w:rPr>
      </w:pPr>
      <w:r>
        <w:rPr>
          <w:rFonts w:ascii="Arial" w:hAnsi="Arial" w:cs="Arial"/>
          <w:b/>
          <w:sz w:val="20"/>
          <w:szCs w:val="20"/>
        </w:rPr>
        <w:t xml:space="preserve">Note </w:t>
      </w:r>
      <w:r>
        <w:rPr>
          <w:rFonts w:ascii="Arial" w:hAnsi="Arial" w:cs="Arial"/>
          <w:sz w:val="20"/>
          <w:szCs w:val="20"/>
        </w:rPr>
        <w:t>:</w:t>
      </w:r>
    </w:p>
    <w:p>
      <w:pPr>
        <w:spacing w:line="240" w:lineRule="auto"/>
        <w:ind w:left="360" w:firstLine="0"/>
        <w:rPr>
          <w:rFonts w:ascii="Arial" w:hAnsi="Arial" w:cs="Arial"/>
          <w:sz w:val="20"/>
          <w:szCs w:val="24"/>
        </w:rPr>
      </w:pPr>
      <w:r>
        <w:rPr>
          <w:rFonts w:ascii="Arial" w:hAnsi="Arial" w:cs="Arial"/>
          <w:sz w:val="20"/>
          <w:szCs w:val="24"/>
        </w:rPr>
        <w:t>1. Student of Department of Public Health with Interest on Health Promotion, Institute of Health Science Muhammadiyah of Samarinda</w:t>
      </w:r>
    </w:p>
    <w:p>
      <w:pPr>
        <w:tabs>
          <w:tab w:val="left" w:pos="1890"/>
        </w:tabs>
        <w:spacing w:line="240" w:lineRule="auto"/>
        <w:ind w:left="360" w:firstLine="0"/>
        <w:rPr>
          <w:rFonts w:ascii="Arial" w:hAnsi="Arial" w:cs="Arial"/>
          <w:sz w:val="20"/>
          <w:szCs w:val="20"/>
        </w:rPr>
      </w:pPr>
      <w:r>
        <w:rPr>
          <w:rFonts w:ascii="Arial" w:hAnsi="Arial" w:cs="Arial"/>
          <w:sz w:val="20"/>
          <w:szCs w:val="24"/>
        </w:rPr>
        <w:t>2. Lecturer of Department of Public Health, Institute of Health Science Muhammadiyah of Samarinda</w:t>
      </w:r>
    </w:p>
    <w:p>
      <w:pPr>
        <w:spacing w:line="240" w:lineRule="auto"/>
        <w:rPr>
          <w:rFonts w:ascii="Arial" w:hAnsi="Arial" w:cs="Arial"/>
          <w:sz w:val="20"/>
          <w:szCs w:val="20"/>
        </w:rPr>
      </w:pPr>
      <w:r>
        <w:rPr>
          <w:rFonts w:ascii="Arial" w:hAnsi="Arial" w:cs="Arial"/>
          <w:sz w:val="20"/>
          <w:szCs w:val="20"/>
        </w:rPr>
        <w:pict>
          <v:shape id="_x0000_s1028" o:spid="_x0000_s1028" o:spt="32" type="#_x0000_t32" style="position:absolute;left:0pt;margin-left:-18.4pt;margin-top:2pt;height:0pt;width:490pt;z-index:251661312;mso-width-relative:page;mso-height-relative:page;" o:connectortype="straight" filled="f" coordsize="21600,21600">
            <v:path arrowok="t"/>
            <v:fill on="f" focussize="0,0"/>
            <v:stroke/>
            <v:imagedata o:title=""/>
            <o:lock v:ext="edit"/>
          </v:shape>
        </w:pict>
      </w:r>
    </w:p>
    <w:p>
      <w:pPr>
        <w:spacing w:line="240" w:lineRule="auto"/>
        <w:rPr>
          <w:rFonts w:ascii="Arial" w:hAnsi="Arial" w:cs="Arial"/>
          <w:b/>
          <w:sz w:val="20"/>
          <w:szCs w:val="20"/>
        </w:rPr>
        <w:sectPr>
          <w:pgSz w:w="11909" w:h="16834"/>
          <w:pgMar w:top="2268" w:right="1701" w:bottom="2268" w:left="1701" w:header="720" w:footer="720" w:gutter="0"/>
          <w:cols w:space="720" w:num="1"/>
          <w:docGrid w:linePitch="360" w:charSpace="0"/>
        </w:sectPr>
      </w:pPr>
    </w:p>
    <w:p>
      <w:pPr>
        <w:spacing w:line="240" w:lineRule="auto"/>
        <w:rPr>
          <w:rFonts w:ascii="Arial" w:hAnsi="Arial" w:cs="Arial"/>
          <w:b/>
          <w:sz w:val="20"/>
          <w:szCs w:val="20"/>
        </w:rPr>
      </w:pPr>
      <w:r>
        <w:rPr>
          <w:rFonts w:ascii="Arial" w:hAnsi="Arial" w:cs="Arial"/>
          <w:b/>
          <w:sz w:val="20"/>
          <w:szCs w:val="20"/>
        </w:rPr>
        <w:t>PENDAHULUAN</w:t>
      </w:r>
    </w:p>
    <w:p>
      <w:pPr>
        <w:spacing w:line="240" w:lineRule="auto"/>
        <w:rPr>
          <w:rFonts w:ascii="Arial" w:hAnsi="Arial" w:cs="Arial"/>
          <w:b/>
          <w:sz w:val="20"/>
          <w:szCs w:val="20"/>
        </w:rPr>
      </w:pPr>
    </w:p>
    <w:p>
      <w:pPr>
        <w:spacing w:line="240" w:lineRule="auto"/>
        <w:ind w:left="360" w:firstLine="0"/>
        <w:rPr>
          <w:rFonts w:ascii="Arial" w:hAnsi="Arial" w:cs="Arial"/>
          <w:sz w:val="20"/>
          <w:szCs w:val="20"/>
        </w:rPr>
      </w:pPr>
      <w:r>
        <w:rPr>
          <w:rFonts w:ascii="Arial" w:hAnsi="Arial" w:cs="Arial"/>
          <w:sz w:val="20"/>
          <w:szCs w:val="20"/>
        </w:rPr>
        <w:t xml:space="preserve">       Kesehatan reproduksi mendapat perhatian khusus secara global sejak diangkatnya isu tersebut dalam Konferensi Internasional tentang Kependudukan dan Pembangunan </w:t>
      </w:r>
      <w:r>
        <w:rPr>
          <w:rFonts w:ascii="Arial" w:hAnsi="Arial" w:cs="Arial"/>
          <w:i/>
          <w:sz w:val="20"/>
          <w:szCs w:val="20"/>
        </w:rPr>
        <w:t xml:space="preserve">International Conference on Population and Development </w:t>
      </w:r>
      <w:r>
        <w:rPr>
          <w:rFonts w:ascii="Arial" w:hAnsi="Arial" w:cs="Arial"/>
          <w:sz w:val="20"/>
          <w:szCs w:val="20"/>
        </w:rPr>
        <w:t>(</w:t>
      </w:r>
      <w:r>
        <w:rPr>
          <w:rFonts w:ascii="Arial" w:hAnsi="Arial" w:cs="Arial"/>
          <w:i/>
          <w:sz w:val="20"/>
          <w:szCs w:val="20"/>
        </w:rPr>
        <w:t>ICPD</w:t>
      </w:r>
      <w:r>
        <w:rPr>
          <w:rFonts w:ascii="Arial" w:hAnsi="Arial" w:cs="Arial"/>
          <w:sz w:val="20"/>
          <w:szCs w:val="20"/>
        </w:rPr>
        <w:t>) di Kairo Mesir, pada tahun 1994, terdiri dari kesehatan ibu dan anak, keluarga berencana, pencegahan dan penanganan infeksi menular seksual termasuk HIV/AIDS, kesehatan reproduksi remaja, pencegahan dan penanganan komplikasi aborsi, pencegahan dan penanganan infertilitas, kesehatan reproduksi usia lanjut, deteksi dini kanker saluran reproduksi serta kesehatan reproduksi lainnya seperti kekerasan seksual, sunat perempuan dan sebagainya (BKKBN, 2008).</w:t>
      </w:r>
    </w:p>
    <w:p>
      <w:pPr>
        <w:spacing w:line="240" w:lineRule="auto"/>
        <w:ind w:left="360" w:firstLine="0"/>
        <w:rPr>
          <w:rFonts w:ascii="Arial" w:hAnsi="Arial" w:cs="Arial"/>
          <w:sz w:val="20"/>
          <w:szCs w:val="20"/>
        </w:rPr>
      </w:pPr>
      <w:r>
        <w:rPr>
          <w:rFonts w:ascii="Arial" w:hAnsi="Arial" w:cs="Arial"/>
          <w:sz w:val="20"/>
          <w:szCs w:val="20"/>
        </w:rPr>
        <w:t xml:space="preserve">       Untuk mengatasi permasalahan remaja, Departemen Kesehatan RI telah memperkenalkan Pelayanan Kesehatan Peduli Remaja (PKPR) yang diadopsi dari WHO sejak tahun 2003 yang berbasis di Puskesmas diseluruh Indonesia telah melaksanakan PKPR. Jenis kegiatan PKPR adalah pemberian informasi dan edukasi, pelayanan klinis medis termasuk pemeriksaan penunjang, konseling, pendidikan keterampilan hidup sehat, pelatihan </w:t>
      </w:r>
      <w:r>
        <w:rPr>
          <w:rFonts w:ascii="Arial" w:hAnsi="Arial" w:cs="Arial"/>
          <w:i/>
          <w:sz w:val="20"/>
          <w:szCs w:val="20"/>
        </w:rPr>
        <w:t>Peer Counselor</w:t>
      </w:r>
      <w:r>
        <w:rPr>
          <w:rFonts w:ascii="Arial" w:hAnsi="Arial" w:cs="Arial"/>
          <w:sz w:val="20"/>
          <w:szCs w:val="20"/>
        </w:rPr>
        <w:t>/Konselor sebaya dan pelayanan rujukan social dan medis (Fadhlina, 2012). PKPR telah di laksanakan di Puskesmas Sempaja pada akhir tahun 2015.</w:t>
      </w:r>
    </w:p>
    <w:p>
      <w:pPr>
        <w:spacing w:line="240" w:lineRule="auto"/>
        <w:ind w:left="360" w:firstLine="0"/>
        <w:rPr>
          <w:rFonts w:ascii="Arial" w:hAnsi="Arial" w:cs="Arial"/>
          <w:sz w:val="20"/>
          <w:szCs w:val="20"/>
        </w:rPr>
      </w:pPr>
      <w:r>
        <w:rPr>
          <w:rFonts w:ascii="Arial" w:hAnsi="Arial" w:cs="Arial"/>
          <w:sz w:val="20"/>
          <w:szCs w:val="20"/>
        </w:rPr>
        <w:t xml:space="preserve">       Dari peneliti sebelumnya Indra Triwahyudianingsih (2012), menyatakan bahwa ada terdapat hubungan yang secara statistik signifikan antara pengetahuan kesehatan reproduksi dan kelompok sebaya dengan sikap seks bebas disebabkan dengan pengetahuan yang dimiliki maka seseorang mampu memilih baik dan buruknya dari seks bebas bagi dirinya. Pengetahuan menjadi faktor yang menentukan pertimbangan bagi seorang untuk bersikap negativ atau positif. Kondisi ini ditunjang oleh teman sebaya dimana teman memiliki peran cukup besar bagi remaja.</w:t>
      </w:r>
    </w:p>
    <w:p>
      <w:pPr>
        <w:spacing w:line="240" w:lineRule="auto"/>
        <w:ind w:left="360" w:firstLine="0"/>
        <w:rPr>
          <w:rFonts w:ascii="Arial" w:hAnsi="Arial" w:cs="Arial"/>
          <w:sz w:val="20"/>
          <w:szCs w:val="20"/>
        </w:rPr>
      </w:pPr>
      <w:r>
        <w:rPr>
          <w:rFonts w:ascii="Arial" w:hAnsi="Arial" w:cs="Arial"/>
          <w:sz w:val="20"/>
          <w:szCs w:val="20"/>
        </w:rPr>
        <w:t xml:space="preserve">       Dari data yang telah di dapatkan di Dinas Kesehatan Provinsi Samarinda menunjukkan terdapat banyaknya konselor sebaya sebanyak 28 orang di daerah wilayah kerja Puskesmas Sempaja. Dari 25 Puskesmas yang ada di Kota Samarinda.</w:t>
      </w:r>
    </w:p>
    <w:p>
      <w:pPr>
        <w:spacing w:line="240" w:lineRule="auto"/>
        <w:ind w:left="360" w:firstLine="0"/>
        <w:rPr>
          <w:rFonts w:ascii="Arial" w:hAnsi="Arial" w:cs="Arial"/>
          <w:sz w:val="20"/>
          <w:szCs w:val="20"/>
        </w:rPr>
      </w:pPr>
      <w:r>
        <w:rPr>
          <w:rFonts w:ascii="Arial" w:hAnsi="Arial" w:cs="Arial"/>
          <w:sz w:val="20"/>
          <w:szCs w:val="20"/>
        </w:rPr>
        <w:t xml:space="preserve">       Dinas Kesehatan Kota Samarinda menunjukkan terdapat 25 puskesmas yang memiliki program Kesehatan Reproduksi Remaja yang ada di Kota Samarinda, 3 di antaranya adalah Puskesmas Sempaja, Puskesmas Karang Asam, dan Puskesmas Sidomulyo. 3 Puskesmas tersebut memiliki kader kesehatan terbanyak dari 25 Puskesmas yang ada.</w:t>
      </w:r>
    </w:p>
    <w:p>
      <w:pPr>
        <w:spacing w:line="240" w:lineRule="auto"/>
        <w:ind w:left="360" w:firstLine="0"/>
        <w:rPr>
          <w:rFonts w:ascii="Arial" w:hAnsi="Arial" w:cs="Arial"/>
          <w:sz w:val="20"/>
          <w:szCs w:val="20"/>
        </w:rPr>
      </w:pPr>
      <w:r>
        <w:rPr>
          <w:rFonts w:ascii="Arial" w:hAnsi="Arial" w:cs="Arial"/>
          <w:sz w:val="20"/>
          <w:szCs w:val="20"/>
        </w:rPr>
        <w:t xml:space="preserve">       SMP Al-Azhar Syifa Budi adalah salah satu sekolah yang sudah dibina oleh Puskesmas Sempaja dalam pengembangan PKPR sejak bulan januari tahun 2016 dan sudah memiliki kader PKPR yaitu siswa dan siswi yang di pilih oleh pihak sekolah yang di bina langsung oleh petugas kesehatan dari puskesmas. Kader PKPR diberikan pembinaan tentang kesehatan reproduksi. Kader PKPR diharapkan mampu menjadi fasilitator teman sebayanya dalam mencari informasi yang tepat ataupun menyelesaikan masalahnya.</w:t>
      </w:r>
    </w:p>
    <w:p>
      <w:pPr>
        <w:spacing w:line="240" w:lineRule="auto"/>
        <w:ind w:left="360" w:firstLine="0"/>
        <w:rPr>
          <w:rFonts w:ascii="Arial" w:hAnsi="Arial" w:cs="Arial"/>
          <w:sz w:val="20"/>
          <w:szCs w:val="20"/>
        </w:rPr>
      </w:pPr>
      <w:r>
        <w:rPr>
          <w:rFonts w:ascii="Arial" w:hAnsi="Arial" w:cs="Arial"/>
          <w:sz w:val="20"/>
          <w:szCs w:val="20"/>
        </w:rPr>
        <w:t xml:space="preserve">       Pengetahuan remaja tentang kesehatan reproduksi dan cara-cara melindungi dirinya terhadap resiko kesehatan reproduksi relative masih rendah dan perlu mendapatkan perhatian lebih. Oleh karena itu, penelitian ini bertujuan untuk mengetahui  peran kader kesehatan remaja dengan tingkat pengetahuan kesehatan reproduksi remaja SMP Al-Azhar Syifa Budi di Samarinda.</w:t>
      </w:r>
    </w:p>
    <w:p>
      <w:pPr>
        <w:spacing w:line="240" w:lineRule="auto"/>
        <w:ind w:left="360" w:firstLine="0"/>
        <w:rPr>
          <w:rFonts w:ascii="Arial" w:hAnsi="Arial" w:cs="Arial"/>
          <w:sz w:val="20"/>
          <w:szCs w:val="20"/>
        </w:rPr>
      </w:pPr>
    </w:p>
    <w:p>
      <w:pPr>
        <w:spacing w:line="240" w:lineRule="auto"/>
        <w:ind w:left="360" w:firstLine="0"/>
        <w:rPr>
          <w:rFonts w:ascii="Arial" w:hAnsi="Arial" w:cs="Arial"/>
          <w:sz w:val="20"/>
          <w:szCs w:val="20"/>
        </w:rPr>
      </w:pPr>
    </w:p>
    <w:p>
      <w:pPr>
        <w:spacing w:line="240" w:lineRule="auto"/>
        <w:ind w:left="360" w:firstLine="0"/>
        <w:rPr>
          <w:rFonts w:ascii="Arial" w:hAnsi="Arial" w:cs="Arial"/>
          <w:b/>
          <w:sz w:val="20"/>
          <w:szCs w:val="20"/>
        </w:rPr>
      </w:pPr>
      <w:r>
        <w:rPr>
          <w:rFonts w:ascii="Arial" w:hAnsi="Arial" w:cs="Arial"/>
          <w:b/>
          <w:sz w:val="20"/>
          <w:szCs w:val="20"/>
        </w:rPr>
        <w:t>TUJUAN PENELITIAN</w:t>
      </w:r>
    </w:p>
    <w:p>
      <w:pPr>
        <w:spacing w:line="240" w:lineRule="auto"/>
        <w:ind w:left="360" w:firstLine="0"/>
        <w:rPr>
          <w:rFonts w:ascii="Arial" w:hAnsi="Arial" w:cs="Arial"/>
          <w:b/>
          <w:sz w:val="20"/>
          <w:szCs w:val="20"/>
        </w:rPr>
      </w:pPr>
      <w:r>
        <w:rPr>
          <w:rFonts w:ascii="Arial" w:hAnsi="Arial" w:cs="Arial"/>
          <w:b/>
          <w:sz w:val="20"/>
          <w:szCs w:val="20"/>
        </w:rPr>
        <w:t>Tujuan Umum</w:t>
      </w:r>
    </w:p>
    <w:p>
      <w:pPr>
        <w:spacing w:line="240" w:lineRule="auto"/>
        <w:ind w:left="360" w:firstLine="0"/>
        <w:rPr>
          <w:rFonts w:ascii="Arial" w:hAnsi="Arial" w:cs="Arial"/>
          <w:sz w:val="20"/>
          <w:szCs w:val="20"/>
        </w:rPr>
      </w:pPr>
      <w:r>
        <w:rPr>
          <w:rFonts w:ascii="Arial" w:hAnsi="Arial" w:cs="Arial"/>
          <w:b/>
          <w:sz w:val="20"/>
          <w:szCs w:val="20"/>
        </w:rPr>
        <w:t xml:space="preserve">       </w:t>
      </w:r>
      <w:r>
        <w:rPr>
          <w:rFonts w:ascii="Arial" w:hAnsi="Arial" w:cs="Arial"/>
          <w:sz w:val="20"/>
          <w:szCs w:val="20"/>
        </w:rPr>
        <w:t>Untuk mengetahui Hubungan peran kader kesehatan remaja dengan tingkat pengetahuan kesehatan reproduksi pada siswa-siswi SMP Al-Azhar Syifa Budi Samarinda.</w:t>
      </w:r>
    </w:p>
    <w:p>
      <w:pPr>
        <w:spacing w:line="240" w:lineRule="auto"/>
        <w:ind w:left="360" w:firstLine="0"/>
        <w:rPr>
          <w:rFonts w:ascii="Arial" w:hAnsi="Arial" w:cs="Arial"/>
          <w:b/>
          <w:sz w:val="20"/>
          <w:szCs w:val="20"/>
        </w:rPr>
      </w:pPr>
      <w:r>
        <w:rPr>
          <w:rFonts w:ascii="Arial" w:hAnsi="Arial" w:cs="Arial"/>
          <w:b/>
          <w:sz w:val="20"/>
          <w:szCs w:val="20"/>
        </w:rPr>
        <w:t>Tujuan Khusus</w:t>
      </w:r>
    </w:p>
    <w:p>
      <w:pPr>
        <w:pStyle w:val="7"/>
        <w:numPr>
          <w:ilvl w:val="0"/>
          <w:numId w:val="1"/>
        </w:numPr>
        <w:spacing w:line="240" w:lineRule="auto"/>
        <w:rPr>
          <w:rFonts w:ascii="Arial" w:hAnsi="Arial" w:cs="Arial"/>
          <w:sz w:val="20"/>
          <w:szCs w:val="20"/>
        </w:rPr>
      </w:pPr>
      <w:r>
        <w:rPr>
          <w:rFonts w:ascii="Arial" w:hAnsi="Arial" w:cs="Arial"/>
          <w:sz w:val="20"/>
          <w:szCs w:val="20"/>
        </w:rPr>
        <w:t>Mengetahui tingkat pengetahuan para remaja siswa-siswi SMP Al-Azhar Syifa Budi Samarinda</w:t>
      </w:r>
    </w:p>
    <w:p>
      <w:pPr>
        <w:pStyle w:val="7"/>
        <w:numPr>
          <w:ilvl w:val="0"/>
          <w:numId w:val="1"/>
        </w:numPr>
        <w:spacing w:line="240" w:lineRule="auto"/>
        <w:rPr>
          <w:rFonts w:ascii="Arial" w:hAnsi="Arial" w:cs="Arial"/>
          <w:sz w:val="20"/>
          <w:szCs w:val="20"/>
        </w:rPr>
      </w:pPr>
      <w:r>
        <w:rPr>
          <w:rFonts w:ascii="Arial" w:hAnsi="Arial" w:cs="Arial"/>
          <w:sz w:val="20"/>
          <w:szCs w:val="20"/>
        </w:rPr>
        <w:t>Mengidentifikasi Peran kader kesehatan remaja SMP Al-Azhar Syifa Budi Samarinda</w:t>
      </w:r>
    </w:p>
    <w:p>
      <w:pPr>
        <w:pStyle w:val="7"/>
        <w:numPr>
          <w:ilvl w:val="0"/>
          <w:numId w:val="1"/>
        </w:numPr>
        <w:spacing w:line="240" w:lineRule="auto"/>
        <w:rPr>
          <w:rFonts w:ascii="Arial" w:hAnsi="Arial" w:cs="Arial"/>
          <w:sz w:val="20"/>
          <w:szCs w:val="20"/>
        </w:rPr>
      </w:pPr>
      <w:r>
        <w:rPr>
          <w:rFonts w:ascii="Arial" w:hAnsi="Arial" w:cs="Arial"/>
          <w:sz w:val="20"/>
          <w:szCs w:val="20"/>
        </w:rPr>
        <w:t>Mengetahui hubungan peran kader kesehatan remaja dengan tingkat pengetahuan kesehatan reproduksi pada siswa-siswi SMP Al-Azhar Syifa Budi.</w:t>
      </w:r>
    </w:p>
    <w:p>
      <w:pPr>
        <w:pStyle w:val="7"/>
        <w:spacing w:line="240" w:lineRule="auto"/>
        <w:ind w:firstLine="0"/>
        <w:rPr>
          <w:rFonts w:ascii="Arial" w:hAnsi="Arial" w:cs="Arial"/>
          <w:sz w:val="20"/>
          <w:szCs w:val="20"/>
        </w:rPr>
      </w:pPr>
    </w:p>
    <w:p>
      <w:pPr>
        <w:spacing w:line="240" w:lineRule="auto"/>
        <w:rPr>
          <w:rFonts w:ascii="Arial" w:hAnsi="Arial" w:cs="Arial"/>
          <w:b/>
          <w:sz w:val="20"/>
          <w:szCs w:val="20"/>
        </w:rPr>
      </w:pPr>
      <w:r>
        <w:rPr>
          <w:rFonts w:ascii="Arial" w:hAnsi="Arial" w:cs="Arial"/>
          <w:b/>
          <w:sz w:val="20"/>
          <w:szCs w:val="20"/>
        </w:rPr>
        <w:t>METODE PENELITIAN</w:t>
      </w:r>
    </w:p>
    <w:p>
      <w:pPr>
        <w:spacing w:line="240" w:lineRule="auto"/>
        <w:ind w:left="360" w:firstLine="0"/>
        <w:rPr>
          <w:rFonts w:ascii="Arial" w:hAnsi="Arial" w:cs="Arial"/>
          <w:sz w:val="20"/>
          <w:szCs w:val="20"/>
        </w:rPr>
      </w:pPr>
      <w:r>
        <w:rPr>
          <w:rFonts w:ascii="Arial" w:hAnsi="Arial" w:cs="Arial"/>
          <w:sz w:val="20"/>
          <w:szCs w:val="20"/>
        </w:rPr>
        <w:t xml:space="preserve">       Jenis penelititan yang digunakan adalah penelitian survey analitik dengan metode </w:t>
      </w:r>
      <w:r>
        <w:rPr>
          <w:rFonts w:ascii="Arial" w:hAnsi="Arial" w:cs="Arial"/>
          <w:i/>
          <w:sz w:val="20"/>
          <w:szCs w:val="20"/>
        </w:rPr>
        <w:t xml:space="preserve">Cross Sectional. </w:t>
      </w:r>
      <w:r>
        <w:rPr>
          <w:rFonts w:ascii="Arial" w:hAnsi="Arial" w:cs="Arial"/>
          <w:sz w:val="20"/>
          <w:szCs w:val="20"/>
        </w:rPr>
        <w:t xml:space="preserve">Penelitian dilaksanakan di SMP Al-Azhar Syifa Budi Samarinda. Populasi dalam penelitian ini adalah seluruh siswa-siswi yang ada di SMP Al-Azhar Syifa Budi Samarinda. Pengambilan sampel menggunakan rumus besaran </w:t>
      </w:r>
      <w:r>
        <w:rPr>
          <w:rFonts w:ascii="Arial" w:hAnsi="Arial" w:cs="Arial"/>
          <w:i/>
          <w:sz w:val="20"/>
          <w:szCs w:val="20"/>
        </w:rPr>
        <w:t>Slovin</w:t>
      </w:r>
      <w:r>
        <w:rPr>
          <w:rFonts w:ascii="Arial" w:hAnsi="Arial" w:cs="Arial"/>
          <w:sz w:val="20"/>
          <w:szCs w:val="20"/>
        </w:rPr>
        <w:t xml:space="preserve"> didapati 75 reponden. Teknik pengambilan sampel menggunakan teknik </w:t>
      </w:r>
      <w:r>
        <w:rPr>
          <w:rFonts w:ascii="Arial" w:hAnsi="Arial" w:cs="Arial"/>
          <w:i/>
          <w:sz w:val="20"/>
          <w:szCs w:val="20"/>
        </w:rPr>
        <w:t>Probability sampling</w:t>
      </w:r>
      <w:r>
        <w:rPr>
          <w:rFonts w:ascii="Arial" w:hAnsi="Arial" w:cs="Arial"/>
          <w:sz w:val="20"/>
          <w:szCs w:val="20"/>
        </w:rPr>
        <w:t xml:space="preserve"> dengan </w:t>
      </w:r>
      <w:r>
        <w:rPr>
          <w:rFonts w:ascii="Arial" w:hAnsi="Arial" w:cs="Arial"/>
          <w:i/>
          <w:sz w:val="20"/>
          <w:szCs w:val="20"/>
        </w:rPr>
        <w:t xml:space="preserve">Propotional stratified random sampling </w:t>
      </w:r>
      <w:r>
        <w:rPr>
          <w:rFonts w:ascii="Arial" w:hAnsi="Arial" w:cs="Arial"/>
          <w:sz w:val="20"/>
          <w:szCs w:val="20"/>
        </w:rPr>
        <w:t xml:space="preserve">sebagai berikut : </w:t>
      </w:r>
    </w:p>
    <w:p>
      <w:pPr>
        <w:spacing w:line="240" w:lineRule="auto"/>
        <w:ind w:left="360" w:firstLine="0"/>
        <w:rPr>
          <w:rFonts w:ascii="Arial" w:hAnsi="Arial" w:cs="Arial" w:eastAsiaTheme="minorEastAsia"/>
          <w:sz w:val="20"/>
          <w:szCs w:val="20"/>
        </w:rPr>
      </w:pPr>
      <m:oMathPara>
        <m:oMath>
          <m:r>
            <w:rPr>
              <w:rFonts w:ascii="Cambria Math" w:hAnsi="Arial" w:cs="Arial" w:eastAsiaTheme="minorEastAsia"/>
              <w:sz w:val="20"/>
              <w:szCs w:val="20"/>
            </w:rPr>
            <m:t xml:space="preserve">n= </m:t>
          </m:r>
          <m:f>
            <m:fPr>
              <m:ctrlPr>
                <w:rPr>
                  <w:rFonts w:ascii="Cambria Math" w:hAnsi="Arial" w:cs="Arial" w:eastAsiaTheme="minorEastAsia"/>
                  <w:i/>
                  <w:sz w:val="20"/>
                  <w:szCs w:val="20"/>
                </w:rPr>
              </m:ctrlPr>
            </m:fPr>
            <m:num>
              <m:r>
                <w:rPr>
                  <w:rFonts w:ascii="Cambria Math" w:hAnsi="Arial" w:cs="Arial" w:eastAsiaTheme="minorEastAsia"/>
                  <w:sz w:val="20"/>
                  <w:szCs w:val="20"/>
                </w:rPr>
                <m:t>X</m:t>
              </m:r>
              <m:ctrlPr>
                <w:rPr>
                  <w:rFonts w:ascii="Cambria Math" w:hAnsi="Arial" w:cs="Arial" w:eastAsiaTheme="minorEastAsia"/>
                  <w:i/>
                  <w:sz w:val="20"/>
                  <w:szCs w:val="20"/>
                </w:rPr>
              </m:ctrlPr>
            </m:num>
            <m:den>
              <m:r>
                <w:rPr>
                  <w:rFonts w:ascii="Cambria Math" w:hAnsi="Arial" w:cs="Arial" w:eastAsiaTheme="minorEastAsia"/>
                  <w:sz w:val="20"/>
                  <w:szCs w:val="20"/>
                </w:rPr>
                <m:t>N</m:t>
              </m:r>
              <m:ctrlPr>
                <w:rPr>
                  <w:rFonts w:ascii="Cambria Math" w:hAnsi="Arial" w:cs="Arial" w:eastAsiaTheme="minorEastAsia"/>
                  <w:i/>
                  <w:sz w:val="20"/>
                  <w:szCs w:val="20"/>
                </w:rPr>
              </m:ctrlPr>
            </m:den>
          </m:f>
          <m:r>
            <w:rPr>
              <w:rFonts w:ascii="Cambria Math" w:hAnsi="Arial" w:cs="Arial" w:eastAsiaTheme="minorEastAsia"/>
              <w:sz w:val="20"/>
              <w:szCs w:val="20"/>
            </w:rPr>
            <m:t>xNi</m:t>
          </m:r>
        </m:oMath>
      </m:oMathPara>
    </w:p>
    <w:p>
      <w:pPr>
        <w:spacing w:line="240" w:lineRule="auto"/>
        <w:ind w:left="360" w:firstLine="0"/>
        <w:rPr>
          <w:rFonts w:ascii="Arial" w:hAnsi="Arial" w:cs="Arial" w:eastAsiaTheme="minorEastAsia"/>
          <w:sz w:val="20"/>
          <w:szCs w:val="20"/>
        </w:rPr>
      </w:pPr>
    </w:p>
    <w:p>
      <w:pPr>
        <w:spacing w:line="240" w:lineRule="auto"/>
        <w:ind w:left="360" w:firstLine="0"/>
        <w:rPr>
          <w:rFonts w:ascii="Arial" w:hAnsi="Arial" w:cs="Arial"/>
          <w:sz w:val="20"/>
          <w:szCs w:val="20"/>
        </w:rPr>
      </w:pPr>
    </w:p>
    <w:p>
      <w:pPr>
        <w:spacing w:line="240" w:lineRule="auto"/>
        <w:ind w:left="360" w:firstLine="0"/>
        <w:rPr>
          <w:rFonts w:ascii="Arial" w:hAnsi="Arial" w:cs="Arial"/>
          <w:sz w:val="20"/>
          <w:szCs w:val="20"/>
        </w:rPr>
      </w:pPr>
    </w:p>
    <w:tbl>
      <w:tblPr>
        <w:tblStyle w:val="6"/>
        <w:tblW w:w="3389" w:type="dxa"/>
        <w:tblInd w:w="72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83"/>
        <w:gridCol w:w="924"/>
        <w:gridCol w:w="198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05" w:hRule="atLeast"/>
        </w:trPr>
        <w:tc>
          <w:tcPr>
            <w:tcW w:w="483" w:type="dxa"/>
            <w:tcBorders>
              <w:top w:val="single" w:color="auto" w:sz="4" w:space="0"/>
              <w:left w:val="nil"/>
              <w:bottom w:val="single" w:color="auto" w:sz="4" w:space="0"/>
              <w:right w:val="nil"/>
            </w:tcBorders>
            <w:vAlign w:val="center"/>
          </w:tcPr>
          <w:p>
            <w:pPr>
              <w:spacing w:line="240" w:lineRule="auto"/>
              <w:ind w:left="0" w:firstLine="0"/>
              <w:jc w:val="center"/>
              <w:rPr>
                <w:rFonts w:ascii="Arial" w:hAnsi="Arial" w:cs="Arial"/>
                <w:b/>
                <w:sz w:val="20"/>
                <w:szCs w:val="20"/>
              </w:rPr>
            </w:pPr>
            <w:r>
              <w:rPr>
                <w:rFonts w:ascii="Arial" w:hAnsi="Arial" w:cs="Arial"/>
                <w:b/>
                <w:sz w:val="20"/>
                <w:szCs w:val="20"/>
              </w:rPr>
              <w:t>No</w:t>
            </w:r>
          </w:p>
        </w:tc>
        <w:tc>
          <w:tcPr>
            <w:tcW w:w="924" w:type="dxa"/>
            <w:tcBorders>
              <w:top w:val="single" w:color="auto" w:sz="4" w:space="0"/>
              <w:left w:val="nil"/>
              <w:bottom w:val="single" w:color="auto" w:sz="4" w:space="0"/>
              <w:right w:val="nil"/>
            </w:tcBorders>
            <w:vAlign w:val="center"/>
          </w:tcPr>
          <w:p>
            <w:pPr>
              <w:spacing w:line="240" w:lineRule="auto"/>
              <w:ind w:left="0" w:firstLine="0"/>
              <w:jc w:val="center"/>
              <w:rPr>
                <w:rFonts w:ascii="Arial" w:hAnsi="Arial" w:cs="Arial"/>
                <w:b/>
                <w:sz w:val="20"/>
                <w:szCs w:val="20"/>
              </w:rPr>
            </w:pPr>
            <w:r>
              <w:rPr>
                <w:rFonts w:ascii="Arial" w:hAnsi="Arial" w:cs="Arial"/>
                <w:b/>
                <w:sz w:val="20"/>
                <w:szCs w:val="20"/>
              </w:rPr>
              <w:t>Kelas</w:t>
            </w:r>
          </w:p>
        </w:tc>
        <w:tc>
          <w:tcPr>
            <w:tcW w:w="1982" w:type="dxa"/>
            <w:tcBorders>
              <w:top w:val="single" w:color="auto" w:sz="4" w:space="0"/>
              <w:left w:val="nil"/>
              <w:bottom w:val="single" w:color="auto" w:sz="4" w:space="0"/>
              <w:right w:val="nil"/>
            </w:tcBorders>
            <w:vAlign w:val="center"/>
          </w:tcPr>
          <w:p>
            <w:pPr>
              <w:spacing w:line="240" w:lineRule="auto"/>
              <w:ind w:left="0" w:firstLine="0"/>
              <w:jc w:val="center"/>
              <w:rPr>
                <w:rFonts w:ascii="Arial" w:hAnsi="Arial" w:cs="Arial"/>
                <w:b/>
                <w:sz w:val="20"/>
                <w:szCs w:val="20"/>
              </w:rPr>
            </w:pPr>
            <w:r>
              <w:rPr>
                <w:rFonts w:ascii="Arial" w:hAnsi="Arial" w:cs="Arial"/>
                <w:b/>
                <w:sz w:val="20"/>
                <w:szCs w:val="20"/>
              </w:rPr>
              <w:t>Sampel</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88" w:hRule="atLeast"/>
        </w:trPr>
        <w:tc>
          <w:tcPr>
            <w:tcW w:w="483" w:type="dxa"/>
            <w:tcBorders>
              <w:top w:val="single" w:color="auto" w:sz="4" w:space="0"/>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1</w:t>
            </w:r>
          </w:p>
        </w:tc>
        <w:tc>
          <w:tcPr>
            <w:tcW w:w="924" w:type="dxa"/>
            <w:tcBorders>
              <w:top w:val="single" w:color="auto" w:sz="4" w:space="0"/>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VII A</w:t>
            </w:r>
          </w:p>
        </w:tc>
        <w:tc>
          <w:tcPr>
            <w:tcW w:w="1982" w:type="dxa"/>
            <w:tcBorders>
              <w:top w:val="single" w:color="auto" w:sz="4" w:space="0"/>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eastAsiaTheme="minorEastAsia"/>
                <w:sz w:val="20"/>
                <w:szCs w:val="20"/>
              </w:rPr>
              <w:t xml:space="preserve">= </w:t>
            </w:r>
            <m:oMath>
              <m:f>
                <m:fPr>
                  <m:ctrlPr>
                    <w:rPr>
                      <w:rFonts w:ascii="Cambria Math" w:hAnsi="Arial" w:cs="Arial" w:eastAsiaTheme="minorEastAsia"/>
                      <w:i/>
                      <w:sz w:val="20"/>
                      <w:szCs w:val="20"/>
                    </w:rPr>
                  </m:ctrlPr>
                </m:fPr>
                <m:num>
                  <m:r>
                    <w:rPr>
                      <w:rFonts w:ascii="Cambria Math" w:hAnsi="Arial" w:cs="Arial" w:eastAsiaTheme="minorEastAsia"/>
                      <w:sz w:val="20"/>
                      <w:szCs w:val="20"/>
                    </w:rPr>
                    <m:t>12</m:t>
                  </m:r>
                  <m:ctrlPr>
                    <w:rPr>
                      <w:rFonts w:ascii="Cambria Math" w:hAnsi="Arial" w:cs="Arial" w:eastAsiaTheme="minorEastAsia"/>
                      <w:i/>
                      <w:sz w:val="20"/>
                      <w:szCs w:val="20"/>
                    </w:rPr>
                  </m:ctrlPr>
                </m:num>
                <m:den>
                  <m:r>
                    <w:rPr>
                      <w:rFonts w:ascii="Cambria Math" w:hAnsi="Arial" w:cs="Arial" w:eastAsiaTheme="minorEastAsia"/>
                      <w:sz w:val="20"/>
                      <w:szCs w:val="20"/>
                    </w:rPr>
                    <m:t>92</m:t>
                  </m:r>
                  <m:ctrlPr>
                    <w:rPr>
                      <w:rFonts w:ascii="Cambria Math" w:hAnsi="Arial" w:cs="Arial" w:eastAsiaTheme="minorEastAsia"/>
                      <w:i/>
                      <w:sz w:val="20"/>
                      <w:szCs w:val="20"/>
                    </w:rPr>
                  </m:ctrlPr>
                </m:den>
              </m:f>
              <m:r>
                <w:rPr>
                  <w:rFonts w:ascii="Cambria Math" w:hAnsi="Cambria Math" w:cs="Arial" w:eastAsiaTheme="minorEastAsia"/>
                  <w:sz w:val="20"/>
                  <w:szCs w:val="20"/>
                </w:rPr>
                <m:t>x</m:t>
              </m:r>
              <m:r>
                <w:rPr>
                  <w:rFonts w:ascii="Cambria Math" w:hAnsi="Arial" w:cs="Arial" w:eastAsiaTheme="minorEastAsia"/>
                  <w:sz w:val="20"/>
                  <w:szCs w:val="20"/>
                </w:rPr>
                <m:t>75=10</m:t>
              </m:r>
            </m:oMath>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57" w:hRule="atLeast"/>
        </w:trPr>
        <w:tc>
          <w:tcPr>
            <w:tcW w:w="483"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2</w:t>
            </w:r>
          </w:p>
        </w:tc>
        <w:tc>
          <w:tcPr>
            <w:tcW w:w="924"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VII B</w:t>
            </w:r>
          </w:p>
        </w:tc>
        <w:tc>
          <w:tcPr>
            <w:tcW w:w="1982"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eastAsiaTheme="minorEastAsia"/>
                <w:sz w:val="20"/>
                <w:szCs w:val="20"/>
              </w:rPr>
              <w:t xml:space="preserve">= </w:t>
            </w:r>
            <m:oMath>
              <m:f>
                <m:fPr>
                  <m:ctrlPr>
                    <w:rPr>
                      <w:rFonts w:ascii="Cambria Math" w:hAnsi="Arial" w:cs="Arial" w:eastAsiaTheme="minorEastAsia"/>
                      <w:i/>
                      <w:sz w:val="20"/>
                      <w:szCs w:val="20"/>
                    </w:rPr>
                  </m:ctrlPr>
                </m:fPr>
                <m:num>
                  <m:r>
                    <w:rPr>
                      <w:rFonts w:ascii="Cambria Math" w:hAnsi="Arial" w:cs="Arial" w:eastAsiaTheme="minorEastAsia"/>
                      <w:sz w:val="20"/>
                      <w:szCs w:val="20"/>
                    </w:rPr>
                    <m:t>14</m:t>
                  </m:r>
                  <m:ctrlPr>
                    <w:rPr>
                      <w:rFonts w:ascii="Cambria Math" w:hAnsi="Arial" w:cs="Arial" w:eastAsiaTheme="minorEastAsia"/>
                      <w:i/>
                      <w:sz w:val="20"/>
                      <w:szCs w:val="20"/>
                    </w:rPr>
                  </m:ctrlPr>
                </m:num>
                <m:den>
                  <m:r>
                    <w:rPr>
                      <w:rFonts w:ascii="Cambria Math" w:hAnsi="Arial" w:cs="Arial" w:eastAsiaTheme="minorEastAsia"/>
                      <w:sz w:val="20"/>
                      <w:szCs w:val="20"/>
                    </w:rPr>
                    <m:t>92</m:t>
                  </m:r>
                  <m:ctrlPr>
                    <w:rPr>
                      <w:rFonts w:ascii="Cambria Math" w:hAnsi="Arial" w:cs="Arial" w:eastAsiaTheme="minorEastAsia"/>
                      <w:i/>
                      <w:sz w:val="20"/>
                      <w:szCs w:val="20"/>
                    </w:rPr>
                  </m:ctrlPr>
                </m:den>
              </m:f>
              <m:r>
                <w:rPr>
                  <w:rFonts w:ascii="Cambria Math" w:hAnsi="Cambria Math" w:cs="Arial" w:eastAsiaTheme="minorEastAsia"/>
                  <w:sz w:val="20"/>
                  <w:szCs w:val="20"/>
                </w:rPr>
                <m:t>x</m:t>
              </m:r>
              <m:r>
                <w:rPr>
                  <w:rFonts w:ascii="Cambria Math" w:hAnsi="Arial" w:cs="Arial" w:eastAsiaTheme="minorEastAsia"/>
                  <w:sz w:val="20"/>
                  <w:szCs w:val="20"/>
                </w:rPr>
                <m:t>75=11</m:t>
              </m:r>
            </m:oMath>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57" w:hRule="atLeast"/>
        </w:trPr>
        <w:tc>
          <w:tcPr>
            <w:tcW w:w="483"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3</w:t>
            </w:r>
          </w:p>
        </w:tc>
        <w:tc>
          <w:tcPr>
            <w:tcW w:w="924"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VIII A</w:t>
            </w:r>
          </w:p>
        </w:tc>
        <w:tc>
          <w:tcPr>
            <w:tcW w:w="1982"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eastAsiaTheme="minorEastAsia"/>
                <w:sz w:val="20"/>
                <w:szCs w:val="20"/>
              </w:rPr>
              <w:t xml:space="preserve">= </w:t>
            </w:r>
            <m:oMath>
              <m:f>
                <m:fPr>
                  <m:ctrlPr>
                    <w:rPr>
                      <w:rFonts w:ascii="Cambria Math" w:hAnsi="Arial" w:cs="Arial" w:eastAsiaTheme="minorEastAsia"/>
                      <w:i/>
                      <w:sz w:val="20"/>
                      <w:szCs w:val="20"/>
                    </w:rPr>
                  </m:ctrlPr>
                </m:fPr>
                <m:num>
                  <m:r>
                    <w:rPr>
                      <w:rFonts w:ascii="Cambria Math" w:hAnsi="Arial" w:cs="Arial" w:eastAsiaTheme="minorEastAsia"/>
                      <w:sz w:val="20"/>
                      <w:szCs w:val="20"/>
                    </w:rPr>
                    <m:t>18</m:t>
                  </m:r>
                  <m:ctrlPr>
                    <w:rPr>
                      <w:rFonts w:ascii="Cambria Math" w:hAnsi="Arial" w:cs="Arial" w:eastAsiaTheme="minorEastAsia"/>
                      <w:i/>
                      <w:sz w:val="20"/>
                      <w:szCs w:val="20"/>
                    </w:rPr>
                  </m:ctrlPr>
                </m:num>
                <m:den>
                  <m:r>
                    <w:rPr>
                      <w:rFonts w:ascii="Cambria Math" w:hAnsi="Arial" w:cs="Arial" w:eastAsiaTheme="minorEastAsia"/>
                      <w:sz w:val="20"/>
                      <w:szCs w:val="20"/>
                    </w:rPr>
                    <m:t>92</m:t>
                  </m:r>
                  <m:ctrlPr>
                    <w:rPr>
                      <w:rFonts w:ascii="Cambria Math" w:hAnsi="Arial" w:cs="Arial" w:eastAsiaTheme="minorEastAsia"/>
                      <w:i/>
                      <w:sz w:val="20"/>
                      <w:szCs w:val="20"/>
                    </w:rPr>
                  </m:ctrlPr>
                </m:den>
              </m:f>
              <m:r>
                <w:rPr>
                  <w:rFonts w:ascii="Cambria Math" w:hAnsi="Cambria Math" w:cs="Arial" w:eastAsiaTheme="minorEastAsia"/>
                  <w:sz w:val="20"/>
                  <w:szCs w:val="20"/>
                </w:rPr>
                <m:t>x</m:t>
              </m:r>
              <m:r>
                <w:rPr>
                  <w:rFonts w:ascii="Cambria Math" w:hAnsi="Arial" w:cs="Arial" w:eastAsiaTheme="minorEastAsia"/>
                  <w:sz w:val="20"/>
                  <w:szCs w:val="20"/>
                </w:rPr>
                <m:t>75=15</m:t>
              </m:r>
            </m:oMath>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88" w:hRule="atLeast"/>
        </w:trPr>
        <w:tc>
          <w:tcPr>
            <w:tcW w:w="483"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4</w:t>
            </w:r>
          </w:p>
        </w:tc>
        <w:tc>
          <w:tcPr>
            <w:tcW w:w="924"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VIII B</w:t>
            </w:r>
          </w:p>
        </w:tc>
        <w:tc>
          <w:tcPr>
            <w:tcW w:w="1982"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eastAsiaTheme="minorEastAsia"/>
                <w:sz w:val="20"/>
                <w:szCs w:val="20"/>
              </w:rPr>
              <w:t xml:space="preserve">= </w:t>
            </w:r>
            <m:oMath>
              <m:f>
                <m:fPr>
                  <m:ctrlPr>
                    <w:rPr>
                      <w:rFonts w:ascii="Cambria Math" w:hAnsi="Arial" w:cs="Arial" w:eastAsiaTheme="minorEastAsia"/>
                      <w:i/>
                      <w:sz w:val="20"/>
                      <w:szCs w:val="20"/>
                    </w:rPr>
                  </m:ctrlPr>
                </m:fPr>
                <m:num>
                  <m:r>
                    <w:rPr>
                      <w:rFonts w:ascii="Cambria Math" w:hAnsi="Arial" w:cs="Arial" w:eastAsiaTheme="minorEastAsia"/>
                      <w:sz w:val="20"/>
                      <w:szCs w:val="20"/>
                    </w:rPr>
                    <m:t>17</m:t>
                  </m:r>
                  <m:ctrlPr>
                    <w:rPr>
                      <w:rFonts w:ascii="Cambria Math" w:hAnsi="Arial" w:cs="Arial" w:eastAsiaTheme="minorEastAsia"/>
                      <w:i/>
                      <w:sz w:val="20"/>
                      <w:szCs w:val="20"/>
                    </w:rPr>
                  </m:ctrlPr>
                </m:num>
                <m:den>
                  <m:r>
                    <w:rPr>
                      <w:rFonts w:ascii="Cambria Math" w:hAnsi="Arial" w:cs="Arial" w:eastAsiaTheme="minorEastAsia"/>
                      <w:sz w:val="20"/>
                      <w:szCs w:val="20"/>
                    </w:rPr>
                    <m:t>92</m:t>
                  </m:r>
                  <m:ctrlPr>
                    <w:rPr>
                      <w:rFonts w:ascii="Cambria Math" w:hAnsi="Arial" w:cs="Arial" w:eastAsiaTheme="minorEastAsia"/>
                      <w:i/>
                      <w:sz w:val="20"/>
                      <w:szCs w:val="20"/>
                    </w:rPr>
                  </m:ctrlPr>
                </m:den>
              </m:f>
              <m:r>
                <w:rPr>
                  <w:rFonts w:ascii="Cambria Math" w:hAnsi="Cambria Math" w:cs="Arial" w:eastAsiaTheme="minorEastAsia"/>
                  <w:sz w:val="20"/>
                  <w:szCs w:val="20"/>
                </w:rPr>
                <m:t>x</m:t>
              </m:r>
              <m:r>
                <w:rPr>
                  <w:rFonts w:ascii="Cambria Math" w:hAnsi="Arial" w:cs="Arial" w:eastAsiaTheme="minorEastAsia"/>
                  <w:sz w:val="20"/>
                  <w:szCs w:val="20"/>
                </w:rPr>
                <m:t>75=14</m:t>
              </m:r>
            </m:oMath>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57" w:hRule="atLeast"/>
        </w:trPr>
        <w:tc>
          <w:tcPr>
            <w:tcW w:w="483"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5</w:t>
            </w:r>
          </w:p>
        </w:tc>
        <w:tc>
          <w:tcPr>
            <w:tcW w:w="924"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IX A</w:t>
            </w:r>
          </w:p>
        </w:tc>
        <w:tc>
          <w:tcPr>
            <w:tcW w:w="1982" w:type="dxa"/>
            <w:tcBorders>
              <w:top w:val="nil"/>
              <w:left w:val="nil"/>
              <w:bottom w:val="nil"/>
              <w:right w:val="nil"/>
            </w:tcBorders>
            <w:vAlign w:val="center"/>
          </w:tcPr>
          <w:p>
            <w:pPr>
              <w:spacing w:line="240" w:lineRule="auto"/>
              <w:ind w:left="0" w:firstLine="0"/>
              <w:jc w:val="center"/>
              <w:rPr>
                <w:rFonts w:ascii="Arial" w:hAnsi="Arial" w:cs="Arial"/>
                <w:sz w:val="20"/>
                <w:szCs w:val="20"/>
              </w:rPr>
            </w:pPr>
            <w:r>
              <w:rPr>
                <w:rFonts w:ascii="Arial" w:hAnsi="Arial" w:cs="Arial" w:eastAsiaTheme="minorEastAsia"/>
                <w:sz w:val="20"/>
                <w:szCs w:val="20"/>
              </w:rPr>
              <w:t xml:space="preserve">= </w:t>
            </w:r>
            <m:oMath>
              <m:f>
                <m:fPr>
                  <m:ctrlPr>
                    <w:rPr>
                      <w:rFonts w:ascii="Cambria Math" w:hAnsi="Arial" w:cs="Arial" w:eastAsiaTheme="minorEastAsia"/>
                      <w:i/>
                      <w:sz w:val="20"/>
                      <w:szCs w:val="20"/>
                    </w:rPr>
                  </m:ctrlPr>
                </m:fPr>
                <m:num>
                  <m:r>
                    <w:rPr>
                      <w:rFonts w:ascii="Cambria Math" w:hAnsi="Arial" w:cs="Arial" w:eastAsiaTheme="minorEastAsia"/>
                      <w:sz w:val="20"/>
                      <w:szCs w:val="20"/>
                    </w:rPr>
                    <m:t>19</m:t>
                  </m:r>
                  <m:ctrlPr>
                    <w:rPr>
                      <w:rFonts w:ascii="Cambria Math" w:hAnsi="Arial" w:cs="Arial" w:eastAsiaTheme="minorEastAsia"/>
                      <w:i/>
                      <w:sz w:val="20"/>
                      <w:szCs w:val="20"/>
                    </w:rPr>
                  </m:ctrlPr>
                </m:num>
                <m:den>
                  <m:r>
                    <w:rPr>
                      <w:rFonts w:ascii="Cambria Math" w:hAnsi="Arial" w:cs="Arial" w:eastAsiaTheme="minorEastAsia"/>
                      <w:sz w:val="20"/>
                      <w:szCs w:val="20"/>
                    </w:rPr>
                    <m:t>92</m:t>
                  </m:r>
                  <m:ctrlPr>
                    <w:rPr>
                      <w:rFonts w:ascii="Cambria Math" w:hAnsi="Arial" w:cs="Arial" w:eastAsiaTheme="minorEastAsia"/>
                      <w:i/>
                      <w:sz w:val="20"/>
                      <w:szCs w:val="20"/>
                    </w:rPr>
                  </m:ctrlPr>
                </m:den>
              </m:f>
              <m:r>
                <w:rPr>
                  <w:rFonts w:ascii="Cambria Math" w:hAnsi="Cambria Math" w:cs="Arial" w:eastAsiaTheme="minorEastAsia"/>
                  <w:sz w:val="20"/>
                  <w:szCs w:val="20"/>
                </w:rPr>
                <m:t>x</m:t>
              </m:r>
              <m:r>
                <w:rPr>
                  <w:rFonts w:ascii="Cambria Math" w:hAnsi="Arial" w:cs="Arial" w:eastAsiaTheme="minorEastAsia"/>
                  <w:sz w:val="20"/>
                  <w:szCs w:val="20"/>
                </w:rPr>
                <m:t>75=15</m:t>
              </m:r>
            </m:oMath>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57" w:hRule="atLeast"/>
        </w:trPr>
        <w:tc>
          <w:tcPr>
            <w:tcW w:w="483" w:type="dxa"/>
            <w:tcBorders>
              <w:top w:val="nil"/>
              <w:left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6</w:t>
            </w:r>
          </w:p>
        </w:tc>
        <w:tc>
          <w:tcPr>
            <w:tcW w:w="924" w:type="dxa"/>
            <w:tcBorders>
              <w:top w:val="nil"/>
              <w:left w:val="nil"/>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IX B</w:t>
            </w:r>
          </w:p>
        </w:tc>
        <w:tc>
          <w:tcPr>
            <w:tcW w:w="1982" w:type="dxa"/>
            <w:tcBorders>
              <w:top w:val="nil"/>
              <w:left w:val="nil"/>
              <w:right w:val="nil"/>
            </w:tcBorders>
            <w:vAlign w:val="center"/>
          </w:tcPr>
          <w:p>
            <w:pPr>
              <w:spacing w:line="240" w:lineRule="auto"/>
              <w:ind w:left="0" w:firstLine="0"/>
              <w:jc w:val="center"/>
              <w:rPr>
                <w:rFonts w:ascii="Arial" w:hAnsi="Arial" w:cs="Arial"/>
                <w:sz w:val="20"/>
                <w:szCs w:val="20"/>
              </w:rPr>
            </w:pPr>
            <w:r>
              <w:rPr>
                <w:rFonts w:ascii="Arial" w:hAnsi="Arial" w:cs="Arial" w:eastAsiaTheme="minorEastAsia"/>
                <w:sz w:val="20"/>
                <w:szCs w:val="20"/>
              </w:rPr>
              <w:t xml:space="preserve">= </w:t>
            </w:r>
            <m:oMath>
              <m:f>
                <m:fPr>
                  <m:ctrlPr>
                    <w:rPr>
                      <w:rFonts w:ascii="Cambria Math" w:hAnsi="Arial" w:cs="Arial" w:eastAsiaTheme="minorEastAsia"/>
                      <w:i/>
                      <w:sz w:val="20"/>
                      <w:szCs w:val="20"/>
                    </w:rPr>
                  </m:ctrlPr>
                </m:fPr>
                <m:num>
                  <m:r>
                    <w:rPr>
                      <w:rFonts w:ascii="Cambria Math" w:hAnsi="Arial" w:cs="Arial" w:eastAsiaTheme="minorEastAsia"/>
                      <w:sz w:val="20"/>
                      <w:szCs w:val="20"/>
                    </w:rPr>
                    <m:t>12</m:t>
                  </m:r>
                  <m:ctrlPr>
                    <w:rPr>
                      <w:rFonts w:ascii="Cambria Math" w:hAnsi="Arial" w:cs="Arial" w:eastAsiaTheme="minorEastAsia"/>
                      <w:i/>
                      <w:sz w:val="20"/>
                      <w:szCs w:val="20"/>
                    </w:rPr>
                  </m:ctrlPr>
                </m:num>
                <m:den>
                  <m:r>
                    <w:rPr>
                      <w:rFonts w:ascii="Cambria Math" w:hAnsi="Arial" w:cs="Arial" w:eastAsiaTheme="minorEastAsia"/>
                      <w:sz w:val="20"/>
                      <w:szCs w:val="20"/>
                    </w:rPr>
                    <m:t>92</m:t>
                  </m:r>
                  <m:ctrlPr>
                    <w:rPr>
                      <w:rFonts w:ascii="Cambria Math" w:hAnsi="Arial" w:cs="Arial" w:eastAsiaTheme="minorEastAsia"/>
                      <w:i/>
                      <w:sz w:val="20"/>
                      <w:szCs w:val="20"/>
                    </w:rPr>
                  </m:ctrlPr>
                </m:den>
              </m:f>
              <m:r>
                <w:rPr>
                  <w:rFonts w:ascii="Cambria Math" w:hAnsi="Cambria Math" w:cs="Arial" w:eastAsiaTheme="minorEastAsia"/>
                  <w:sz w:val="20"/>
                  <w:szCs w:val="20"/>
                </w:rPr>
                <m:t>x</m:t>
              </m:r>
              <m:r>
                <w:rPr>
                  <w:rFonts w:ascii="Cambria Math" w:hAnsi="Arial" w:cs="Arial" w:eastAsiaTheme="minorEastAsia"/>
                  <w:sz w:val="20"/>
                  <w:szCs w:val="20"/>
                </w:rPr>
                <m:t>75=10</m:t>
              </m:r>
            </m:oMath>
          </w:p>
        </w:tc>
      </w:tr>
    </w:tbl>
    <w:p>
      <w:pPr>
        <w:spacing w:line="240" w:lineRule="auto"/>
        <w:ind w:left="360" w:firstLine="0"/>
        <w:rPr>
          <w:rFonts w:ascii="Arial" w:hAnsi="Arial" w:cs="Arial" w:eastAsiaTheme="minorEastAsia"/>
        </w:rPr>
      </w:pPr>
    </w:p>
    <w:p>
      <w:pPr>
        <w:spacing w:line="240" w:lineRule="auto"/>
        <w:ind w:left="360" w:firstLine="0"/>
        <w:rPr>
          <w:rFonts w:ascii="Arial" w:hAnsi="Arial" w:cs="Arial"/>
          <w:sz w:val="20"/>
          <w:szCs w:val="20"/>
        </w:rPr>
      </w:pPr>
      <w:r>
        <w:rPr>
          <w:rFonts w:ascii="Arial" w:hAnsi="Arial" w:cs="Arial"/>
          <w:sz w:val="20"/>
          <w:szCs w:val="20"/>
        </w:rPr>
        <w:t xml:space="preserve">Langkah selanjutnya peneliti akan melakukan pengambilan sampel dengan cara </w:t>
      </w:r>
      <w:r>
        <w:rPr>
          <w:rFonts w:ascii="Arial" w:hAnsi="Arial" w:cs="Arial"/>
          <w:i/>
          <w:sz w:val="20"/>
          <w:szCs w:val="20"/>
        </w:rPr>
        <w:t>Simple random sampling</w:t>
      </w:r>
      <w:r>
        <w:rPr>
          <w:rFonts w:ascii="Arial" w:hAnsi="Arial" w:cs="Arial"/>
          <w:sz w:val="20"/>
          <w:szCs w:val="20"/>
        </w:rPr>
        <w:t>.</w:t>
      </w:r>
    </w:p>
    <w:p>
      <w:pPr>
        <w:spacing w:line="240" w:lineRule="auto"/>
        <w:ind w:left="360" w:firstLine="0"/>
        <w:rPr>
          <w:rFonts w:ascii="Arial" w:hAnsi="Arial" w:cs="Arial"/>
          <w:sz w:val="20"/>
          <w:szCs w:val="20"/>
        </w:rPr>
      </w:pPr>
    </w:p>
    <w:p>
      <w:pPr>
        <w:spacing w:line="240" w:lineRule="auto"/>
        <w:ind w:left="360" w:firstLine="0"/>
        <w:rPr>
          <w:rFonts w:ascii="Arial" w:hAnsi="Arial" w:cs="Arial"/>
          <w:b/>
          <w:sz w:val="20"/>
          <w:szCs w:val="20"/>
        </w:rPr>
      </w:pPr>
      <w:r>
        <w:rPr>
          <w:rFonts w:ascii="Arial" w:hAnsi="Arial" w:cs="Arial"/>
          <w:b/>
          <w:sz w:val="20"/>
          <w:szCs w:val="20"/>
        </w:rPr>
        <w:t>Uji Validitas dan Realibilitas</w:t>
      </w:r>
    </w:p>
    <w:p>
      <w:pPr>
        <w:spacing w:line="240" w:lineRule="auto"/>
        <w:ind w:left="360" w:firstLine="0"/>
        <w:rPr>
          <w:rFonts w:ascii="Arial" w:hAnsi="Arial" w:cs="Arial"/>
          <w:sz w:val="20"/>
          <w:szCs w:val="20"/>
        </w:rPr>
      </w:pPr>
      <w:r>
        <w:rPr>
          <w:rFonts w:ascii="Arial" w:hAnsi="Arial" w:cs="Arial"/>
          <w:sz w:val="20"/>
          <w:szCs w:val="20"/>
        </w:rPr>
        <w:t>Uji Validitas</w:t>
      </w:r>
    </w:p>
    <w:p>
      <w:pPr>
        <w:spacing w:line="240" w:lineRule="auto"/>
        <w:ind w:left="360" w:firstLine="0"/>
        <w:rPr>
          <w:rFonts w:ascii="Arial" w:hAnsi="Arial" w:cs="Arial"/>
          <w:sz w:val="20"/>
          <w:szCs w:val="20"/>
        </w:rPr>
      </w:pPr>
      <w:r>
        <w:rPr>
          <w:rFonts w:ascii="Arial" w:hAnsi="Arial" w:cs="Arial"/>
          <w:sz w:val="20"/>
          <w:szCs w:val="20"/>
        </w:rPr>
        <w:t xml:space="preserve">       Uji validitas adalah suatu indeks yang menunjukkan alat atau ukut itu benar-benar mengukur apa yang diukur (Notoatmodjo, 2010). Uji validitas dalam penelitian ini dilakukan di SMP Negeri 11 Samarinda.</w:t>
      </w:r>
    </w:p>
    <w:p>
      <w:pPr>
        <w:spacing w:line="240" w:lineRule="auto"/>
        <w:ind w:left="360" w:firstLine="0"/>
        <w:rPr>
          <w:rFonts w:ascii="Arial" w:hAnsi="Arial" w:cs="Arial" w:eastAsiaTheme="minorEastAsia"/>
          <w:sz w:val="24"/>
          <w:szCs w:val="24"/>
        </w:rPr>
      </w:pPr>
      <w:r>
        <w:rPr>
          <w:rFonts w:ascii="Arial" w:hAnsi="Arial" w:cs="Arial" w:eastAsiaTheme="minorEastAsia"/>
          <w:sz w:val="20"/>
          <w:szCs w:val="20"/>
        </w:rPr>
        <w:t xml:space="preserve">       Hasil uji validitas yang dilakukan di SMP Negeri 11 Samarinda dari 15 pertanyaan pengetahuan tentang kesehatan reproduksi, didapatkan 5 pernyataan yang dikatakan valid dan dari 10 pertanyaan tentang peran kader kesehatan remaja, didapatkan 6 pernyataan yang valid, karena r hitungnya &gt; r tabel yaitu 0,754</w:t>
      </w:r>
      <w:r>
        <w:rPr>
          <w:rFonts w:ascii="Arial" w:hAnsi="Arial" w:cs="Arial" w:eastAsiaTheme="minorEastAsia"/>
          <w:sz w:val="24"/>
          <w:szCs w:val="24"/>
        </w:rPr>
        <w:t>.</w:t>
      </w:r>
    </w:p>
    <w:p>
      <w:pPr>
        <w:spacing w:line="240" w:lineRule="auto"/>
        <w:ind w:left="360" w:firstLine="0"/>
        <w:rPr>
          <w:rFonts w:ascii="Arial" w:hAnsi="Arial" w:cs="Arial"/>
          <w:sz w:val="20"/>
          <w:szCs w:val="20"/>
        </w:rPr>
      </w:pPr>
      <w:r>
        <w:rPr>
          <w:rFonts w:ascii="Arial" w:hAnsi="Arial" w:cs="Arial"/>
          <w:sz w:val="20"/>
          <w:szCs w:val="20"/>
        </w:rPr>
        <w:t>Uji Realibilitas</w:t>
      </w:r>
    </w:p>
    <w:p>
      <w:pPr>
        <w:spacing w:line="240" w:lineRule="auto"/>
        <w:ind w:left="360" w:firstLine="0"/>
        <w:rPr>
          <w:rFonts w:ascii="Arial" w:hAnsi="Arial" w:cs="Arial"/>
          <w:sz w:val="20"/>
          <w:szCs w:val="20"/>
        </w:rPr>
      </w:pPr>
      <w:r>
        <w:rPr>
          <w:rFonts w:ascii="Arial" w:hAnsi="Arial" w:cs="Arial"/>
          <w:sz w:val="20"/>
          <w:szCs w:val="20"/>
        </w:rPr>
        <w:t xml:space="preserve">       Reliabilitas adalah indeks yang menujukkan sejauh mana suatu alat mengukur dapat dipercaya atau diandalkan. Hal ini berarti menunjukkan sejauh mana hasil pengukuran itu tetap konsisten, bila dilakukan pengukuran dua kali atau lebih terhadap gejala yang sama dengan menggunakan alat ukur yang sama (Notoatmodjo, 2010).</w:t>
      </w:r>
    </w:p>
    <w:p>
      <w:pPr>
        <w:spacing w:line="240" w:lineRule="auto"/>
        <w:ind w:left="360" w:firstLine="0"/>
        <w:rPr>
          <w:rFonts w:ascii="Arial" w:hAnsi="Arial" w:cs="Arial" w:eastAsiaTheme="minorEastAsia"/>
          <w:sz w:val="20"/>
          <w:szCs w:val="20"/>
        </w:rPr>
      </w:pPr>
      <w:r>
        <w:rPr>
          <w:rFonts w:ascii="Arial" w:hAnsi="Arial" w:cs="Arial" w:eastAsiaTheme="minorEastAsia"/>
          <w:sz w:val="20"/>
          <w:szCs w:val="20"/>
        </w:rPr>
        <w:t xml:space="preserve">       Hasil uji reliabilitas yang dilakukan di SMP Negeri 11 Samarinda untuk variabel pengetahuan kesehatan reproduksi adalah 0,704 dan variabel peran kader adalah 0,651. Menurut hasil uji diatas dapat disimpulkan bahwa pertanyaan dari semua variabel tersebut adalah reliabel.</w:t>
      </w:r>
    </w:p>
    <w:p>
      <w:pPr>
        <w:spacing w:line="240" w:lineRule="auto"/>
        <w:ind w:left="360" w:firstLine="0"/>
        <w:rPr>
          <w:rFonts w:ascii="Arial" w:hAnsi="Arial" w:cs="Arial" w:eastAsiaTheme="minorEastAsia"/>
          <w:b/>
          <w:sz w:val="20"/>
          <w:szCs w:val="20"/>
        </w:rPr>
      </w:pPr>
      <w:r>
        <w:rPr>
          <w:rFonts w:ascii="Arial" w:hAnsi="Arial" w:cs="Arial" w:eastAsiaTheme="minorEastAsia"/>
          <w:b/>
          <w:sz w:val="20"/>
          <w:szCs w:val="20"/>
        </w:rPr>
        <w:t>HASIL DAN PEMBAHASAN</w:t>
      </w:r>
    </w:p>
    <w:p>
      <w:pPr>
        <w:spacing w:line="240" w:lineRule="auto"/>
        <w:ind w:left="360" w:firstLine="0"/>
        <w:rPr>
          <w:rFonts w:ascii="Arial" w:hAnsi="Arial" w:cs="Arial" w:eastAsiaTheme="minorEastAsia"/>
          <w:b/>
          <w:sz w:val="20"/>
          <w:szCs w:val="20"/>
        </w:rPr>
      </w:pPr>
      <w:r>
        <w:rPr>
          <w:rFonts w:ascii="Arial" w:hAnsi="Arial" w:cs="Arial" w:eastAsiaTheme="minorEastAsia"/>
          <w:b/>
          <w:sz w:val="20"/>
          <w:szCs w:val="20"/>
        </w:rPr>
        <w:t>Hasil</w:t>
      </w:r>
    </w:p>
    <w:p>
      <w:pPr>
        <w:spacing w:line="240" w:lineRule="auto"/>
        <w:ind w:left="360" w:firstLine="0"/>
        <w:rPr>
          <w:rFonts w:ascii="Arial" w:hAnsi="Arial" w:cs="Arial"/>
          <w:i/>
          <w:sz w:val="20"/>
        </w:rPr>
      </w:pPr>
      <w:r>
        <w:rPr>
          <w:rFonts w:ascii="Arial" w:hAnsi="Arial" w:cs="Arial"/>
          <w:sz w:val="20"/>
        </w:rPr>
        <w:t xml:space="preserve">       Penelitian ini melakukan analisis data secara univariat, selanjutnya dilakukan analisis data secara bivariat untuk mengidentifikasi hubungan antara variabel independen dan dependen yang dilakukan perhitungan dengan menggunakan uji </w:t>
      </w:r>
      <w:r>
        <w:rPr>
          <w:rFonts w:ascii="Arial" w:hAnsi="Arial" w:cs="Arial"/>
          <w:i/>
          <w:sz w:val="20"/>
        </w:rPr>
        <w:t>Chi Square.</w:t>
      </w:r>
    </w:p>
    <w:p>
      <w:pPr>
        <w:spacing w:line="240" w:lineRule="auto"/>
        <w:ind w:left="360" w:firstLine="0"/>
        <w:rPr>
          <w:rFonts w:ascii="Arial" w:hAnsi="Arial" w:cs="Arial"/>
          <w:i/>
          <w:sz w:val="20"/>
        </w:rPr>
      </w:pPr>
    </w:p>
    <w:p>
      <w:pPr>
        <w:pStyle w:val="7"/>
        <w:numPr>
          <w:ilvl w:val="0"/>
          <w:numId w:val="2"/>
        </w:numPr>
        <w:spacing w:line="240" w:lineRule="auto"/>
        <w:rPr>
          <w:rFonts w:ascii="Arial" w:hAnsi="Arial" w:cs="Arial"/>
          <w:sz w:val="20"/>
          <w:szCs w:val="20"/>
        </w:rPr>
      </w:pPr>
      <w:r>
        <w:rPr>
          <w:rFonts w:ascii="Arial" w:hAnsi="Arial" w:cs="Arial"/>
          <w:sz w:val="20"/>
          <w:szCs w:val="20"/>
        </w:rPr>
        <w:t>Karakteristik Responden</w:t>
      </w:r>
    </w:p>
    <w:p>
      <w:pPr>
        <w:pStyle w:val="7"/>
        <w:spacing w:line="240" w:lineRule="auto"/>
        <w:ind w:firstLine="0"/>
        <w:rPr>
          <w:rFonts w:ascii="Arial" w:hAnsi="Arial" w:cs="Arial"/>
          <w:b/>
          <w:sz w:val="20"/>
          <w:szCs w:val="20"/>
        </w:rPr>
      </w:pPr>
      <w:r>
        <w:rPr>
          <w:rFonts w:ascii="Arial" w:hAnsi="Arial" w:cs="Arial"/>
          <w:b/>
          <w:sz w:val="20"/>
          <w:szCs w:val="20"/>
        </w:rPr>
        <w:t>Tabel 1 Distribusi Responden Menurut Jenis Kelamin Siswa-siswi SMP Al-Azhar Syifa Budi Samarinda Tahun 2016/2017</w:t>
      </w:r>
    </w:p>
    <w:tbl>
      <w:tblPr>
        <w:tblStyle w:val="6"/>
        <w:tblW w:w="4178" w:type="dxa"/>
        <w:tblInd w:w="108" w:type="dxa"/>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83"/>
        <w:gridCol w:w="1250"/>
        <w:gridCol w:w="1161"/>
        <w:gridCol w:w="1284"/>
      </w:tblGrid>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846" w:hRule="atLeast"/>
        </w:trPr>
        <w:tc>
          <w:tcPr>
            <w:tcW w:w="483" w:type="dxa"/>
            <w:tcBorders>
              <w:top w:val="single" w:color="auto" w:sz="4" w:space="0"/>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No</w:t>
            </w:r>
          </w:p>
        </w:tc>
        <w:tc>
          <w:tcPr>
            <w:tcW w:w="1250"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Jenis Kelamin</w:t>
            </w:r>
          </w:p>
        </w:tc>
        <w:tc>
          <w:tcPr>
            <w:tcW w:w="1161"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Frekuensi</w:t>
            </w:r>
          </w:p>
        </w:tc>
        <w:tc>
          <w:tcPr>
            <w:tcW w:w="1284" w:type="dxa"/>
            <w:tcBorders>
              <w:top w:val="single" w:color="auto" w:sz="4" w:space="0"/>
              <w:left w:val="nil"/>
              <w:bottom w:val="single" w:color="auto" w:sz="4" w:space="0"/>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Presentase (%)</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13" w:hRule="atLeast"/>
        </w:trPr>
        <w:tc>
          <w:tcPr>
            <w:tcW w:w="483" w:type="dxa"/>
            <w:tcBorders>
              <w:top w:val="single" w:color="auto" w:sz="4" w:space="0"/>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w:t>
            </w:r>
          </w:p>
        </w:tc>
        <w:tc>
          <w:tcPr>
            <w:tcW w:w="1250" w:type="dxa"/>
            <w:tcBorders>
              <w:top w:val="single" w:color="auto" w:sz="4" w:space="0"/>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Laki-Laki</w:t>
            </w:r>
          </w:p>
        </w:tc>
        <w:tc>
          <w:tcPr>
            <w:tcW w:w="1161" w:type="dxa"/>
            <w:tcBorders>
              <w:top w:val="single" w:color="auto" w:sz="4" w:space="0"/>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43</w:t>
            </w:r>
          </w:p>
        </w:tc>
        <w:tc>
          <w:tcPr>
            <w:tcW w:w="1284" w:type="dxa"/>
            <w:tcBorders>
              <w:top w:val="single" w:color="auto" w:sz="4" w:space="0"/>
              <w:left w:val="nil"/>
              <w:bottom w:val="nil"/>
            </w:tcBorders>
          </w:tcPr>
          <w:p>
            <w:pPr>
              <w:pStyle w:val="7"/>
              <w:spacing w:line="240" w:lineRule="auto"/>
              <w:ind w:left="0" w:firstLine="0"/>
              <w:jc w:val="center"/>
              <w:rPr>
                <w:rFonts w:ascii="Arial" w:hAnsi="Arial" w:cs="Arial"/>
                <w:sz w:val="20"/>
                <w:szCs w:val="20"/>
              </w:rPr>
            </w:pPr>
            <w:r>
              <w:rPr>
                <w:rFonts w:ascii="Arial" w:hAnsi="Arial" w:cs="Arial"/>
                <w:sz w:val="20"/>
                <w:szCs w:val="20"/>
              </w:rPr>
              <w:t>57.3%</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30" w:hRule="atLeast"/>
        </w:trPr>
        <w:tc>
          <w:tcPr>
            <w:tcW w:w="483" w:type="dxa"/>
            <w:tcBorders>
              <w:top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2</w:t>
            </w:r>
          </w:p>
        </w:tc>
        <w:tc>
          <w:tcPr>
            <w:tcW w:w="1250" w:type="dxa"/>
            <w:tcBorders>
              <w:top w:val="nil"/>
              <w:left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Perempuan</w:t>
            </w:r>
          </w:p>
        </w:tc>
        <w:tc>
          <w:tcPr>
            <w:tcW w:w="1161" w:type="dxa"/>
            <w:tcBorders>
              <w:top w:val="nil"/>
              <w:left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32</w:t>
            </w:r>
          </w:p>
        </w:tc>
        <w:tc>
          <w:tcPr>
            <w:tcW w:w="1284" w:type="dxa"/>
            <w:tcBorders>
              <w:top w:val="nil"/>
              <w:left w:val="nil"/>
              <w:bottom w:val="single" w:color="auto" w:sz="4" w:space="0"/>
            </w:tcBorders>
          </w:tcPr>
          <w:p>
            <w:pPr>
              <w:pStyle w:val="7"/>
              <w:spacing w:line="240" w:lineRule="auto"/>
              <w:ind w:left="0" w:firstLine="0"/>
              <w:jc w:val="center"/>
              <w:rPr>
                <w:rFonts w:ascii="Arial" w:hAnsi="Arial" w:cs="Arial"/>
                <w:sz w:val="20"/>
                <w:szCs w:val="20"/>
              </w:rPr>
            </w:pPr>
            <w:r>
              <w:rPr>
                <w:rFonts w:ascii="Arial" w:hAnsi="Arial" w:cs="Arial"/>
                <w:sz w:val="20"/>
                <w:szCs w:val="20"/>
              </w:rPr>
              <w:t>42.7%</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31" w:hRule="atLeast"/>
        </w:trPr>
        <w:tc>
          <w:tcPr>
            <w:tcW w:w="1733" w:type="dxa"/>
            <w:gridSpan w:val="2"/>
            <w:tcBorders>
              <w:top w:val="single" w:color="auto" w:sz="4" w:space="0"/>
              <w:bottom w:val="single" w:color="auto" w:sz="4" w:space="0"/>
              <w:right w:val="nil"/>
            </w:tcBorders>
          </w:tcPr>
          <w:p>
            <w:pPr>
              <w:pStyle w:val="7"/>
              <w:spacing w:line="240" w:lineRule="auto"/>
              <w:ind w:left="0" w:firstLine="0"/>
              <w:jc w:val="center"/>
              <w:rPr>
                <w:rFonts w:ascii="Arial" w:hAnsi="Arial" w:cs="Arial"/>
                <w:b/>
                <w:sz w:val="20"/>
                <w:szCs w:val="20"/>
              </w:rPr>
            </w:pPr>
            <w:r>
              <w:rPr>
                <w:rFonts w:ascii="Arial" w:hAnsi="Arial" w:cs="Arial"/>
                <w:b/>
                <w:sz w:val="20"/>
                <w:szCs w:val="20"/>
              </w:rPr>
              <w:t>Total</w:t>
            </w:r>
          </w:p>
        </w:tc>
        <w:tc>
          <w:tcPr>
            <w:tcW w:w="1161" w:type="dxa"/>
            <w:tcBorders>
              <w:top w:val="single" w:color="auto" w:sz="4" w:space="0"/>
              <w:left w:val="nil"/>
              <w:bottom w:val="single" w:color="auto" w:sz="4" w:space="0"/>
              <w:right w:val="nil"/>
            </w:tcBorders>
          </w:tcPr>
          <w:p>
            <w:pPr>
              <w:pStyle w:val="7"/>
              <w:spacing w:line="240" w:lineRule="auto"/>
              <w:ind w:left="0" w:firstLine="0"/>
              <w:jc w:val="center"/>
              <w:rPr>
                <w:rFonts w:ascii="Arial" w:hAnsi="Arial" w:cs="Arial"/>
                <w:b/>
                <w:sz w:val="20"/>
                <w:szCs w:val="20"/>
              </w:rPr>
            </w:pPr>
            <w:r>
              <w:rPr>
                <w:rFonts w:ascii="Arial" w:hAnsi="Arial" w:cs="Arial"/>
                <w:b/>
                <w:sz w:val="20"/>
                <w:szCs w:val="20"/>
              </w:rPr>
              <w:t>75</w:t>
            </w:r>
          </w:p>
        </w:tc>
        <w:tc>
          <w:tcPr>
            <w:tcW w:w="1284" w:type="dxa"/>
            <w:tcBorders>
              <w:top w:val="single" w:color="auto" w:sz="4" w:space="0"/>
              <w:left w:val="nil"/>
              <w:bottom w:val="single" w:color="auto" w:sz="4" w:space="0"/>
            </w:tcBorders>
          </w:tcPr>
          <w:p>
            <w:pPr>
              <w:pStyle w:val="7"/>
              <w:spacing w:line="240" w:lineRule="auto"/>
              <w:ind w:left="0" w:firstLine="0"/>
              <w:jc w:val="center"/>
              <w:rPr>
                <w:rFonts w:ascii="Arial" w:hAnsi="Arial" w:cs="Arial"/>
                <w:b/>
                <w:sz w:val="20"/>
                <w:szCs w:val="20"/>
              </w:rPr>
            </w:pPr>
            <w:r>
              <w:rPr>
                <w:rFonts w:ascii="Arial" w:hAnsi="Arial" w:cs="Arial"/>
                <w:b/>
                <w:sz w:val="20"/>
                <w:szCs w:val="20"/>
              </w:rPr>
              <w:t>100%</w:t>
            </w:r>
          </w:p>
        </w:tc>
      </w:tr>
    </w:tbl>
    <w:p>
      <w:pPr>
        <w:spacing w:line="240" w:lineRule="auto"/>
        <w:ind w:left="0" w:firstLine="0"/>
        <w:rPr>
          <w:rFonts w:ascii="Arial" w:hAnsi="Arial" w:cs="Arial"/>
          <w:b/>
          <w:sz w:val="20"/>
          <w:szCs w:val="20"/>
        </w:rPr>
      </w:pPr>
      <w:r>
        <w:rPr>
          <w:rFonts w:ascii="Arial" w:hAnsi="Arial" w:cs="Arial"/>
          <w:b/>
          <w:sz w:val="20"/>
          <w:szCs w:val="20"/>
        </w:rPr>
        <w:t>Sumber: Data primer 2017</w:t>
      </w:r>
    </w:p>
    <w:p>
      <w:pPr>
        <w:spacing w:line="240" w:lineRule="auto"/>
        <w:ind w:left="0" w:firstLine="0"/>
        <w:rPr>
          <w:rFonts w:ascii="Arial" w:hAnsi="Arial" w:cs="Arial"/>
          <w:b/>
          <w:sz w:val="20"/>
          <w:szCs w:val="20"/>
        </w:rPr>
      </w:pPr>
    </w:p>
    <w:p>
      <w:pPr>
        <w:spacing w:line="240" w:lineRule="auto"/>
        <w:ind w:left="0" w:firstLine="0"/>
        <w:rPr>
          <w:rFonts w:ascii="Arial" w:hAnsi="Arial" w:cs="Arial"/>
          <w:sz w:val="20"/>
          <w:szCs w:val="20"/>
        </w:rPr>
      </w:pPr>
      <w:r>
        <w:rPr>
          <w:rFonts w:ascii="Arial" w:hAnsi="Arial" w:cs="Arial"/>
          <w:sz w:val="20"/>
          <w:szCs w:val="20"/>
        </w:rPr>
        <w:t xml:space="preserve">       Berdasarkan tabel diatas, dapat dilihat bahwa jumlah responden laki-laki lebih besar dari pada jumlah responden perempuan, yaitu 57.3% laki-laki dan perempuan 42.7% dari 75 responden.</w:t>
      </w:r>
    </w:p>
    <w:p>
      <w:pPr>
        <w:spacing w:line="240" w:lineRule="auto"/>
        <w:ind w:left="360" w:firstLine="0"/>
        <w:rPr>
          <w:rFonts w:ascii="Arial" w:hAnsi="Arial" w:cs="Arial"/>
          <w:sz w:val="20"/>
          <w:szCs w:val="20"/>
        </w:rPr>
      </w:pPr>
    </w:p>
    <w:p>
      <w:pPr>
        <w:spacing w:line="240" w:lineRule="auto"/>
        <w:ind w:left="360" w:firstLine="0"/>
        <w:rPr>
          <w:rFonts w:ascii="Arial" w:hAnsi="Arial" w:cs="Arial"/>
          <w:b/>
          <w:sz w:val="20"/>
          <w:szCs w:val="20"/>
        </w:rPr>
      </w:pPr>
      <w:r>
        <w:rPr>
          <w:rFonts w:ascii="Arial" w:hAnsi="Arial" w:cs="Arial"/>
          <w:b/>
          <w:sz w:val="20"/>
          <w:szCs w:val="20"/>
        </w:rPr>
        <w:t>Tabel 2 Distribusi Responden Menurut Usia Siswa-siswi SMP Al-Azhar Syifa Budi Samarinda Tahun 2016/2017</w:t>
      </w:r>
    </w:p>
    <w:tbl>
      <w:tblPr>
        <w:tblStyle w:val="6"/>
        <w:tblW w:w="4282"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7"/>
        <w:gridCol w:w="779"/>
        <w:gridCol w:w="1234"/>
        <w:gridCol w:w="173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537" w:type="dxa"/>
            <w:tcBorders>
              <w:top w:val="single" w:color="auto" w:sz="4" w:space="0"/>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No</w:t>
            </w:r>
          </w:p>
        </w:tc>
        <w:tc>
          <w:tcPr>
            <w:tcW w:w="779"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Usia</w:t>
            </w:r>
          </w:p>
        </w:tc>
        <w:tc>
          <w:tcPr>
            <w:tcW w:w="1234"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Frekuensi</w:t>
            </w:r>
          </w:p>
        </w:tc>
        <w:tc>
          <w:tcPr>
            <w:tcW w:w="1732" w:type="dxa"/>
            <w:tcBorders>
              <w:top w:val="single" w:color="auto" w:sz="4" w:space="0"/>
              <w:left w:val="nil"/>
              <w:bottom w:val="single" w:color="auto" w:sz="4" w:space="0"/>
            </w:tcBorders>
            <w:vAlign w:val="center"/>
          </w:tcPr>
          <w:p>
            <w:pPr>
              <w:pStyle w:val="7"/>
              <w:spacing w:line="240" w:lineRule="auto"/>
              <w:ind w:left="0" w:firstLine="0"/>
              <w:rPr>
                <w:rFonts w:ascii="Arial" w:hAnsi="Arial" w:cs="Arial"/>
                <w:b/>
                <w:sz w:val="20"/>
                <w:szCs w:val="20"/>
              </w:rPr>
            </w:pPr>
            <w:r>
              <w:rPr>
                <w:rFonts w:ascii="Arial" w:hAnsi="Arial" w:cs="Arial"/>
                <w:b/>
                <w:sz w:val="20"/>
                <w:szCs w:val="20"/>
              </w:rPr>
              <w:t>Presentase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2" w:hRule="atLeast"/>
        </w:trPr>
        <w:tc>
          <w:tcPr>
            <w:tcW w:w="537" w:type="dxa"/>
            <w:tcBorders>
              <w:top w:val="single" w:color="auto" w:sz="4" w:space="0"/>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1</w:t>
            </w:r>
          </w:p>
        </w:tc>
        <w:tc>
          <w:tcPr>
            <w:tcW w:w="779" w:type="dxa"/>
            <w:tcBorders>
              <w:top w:val="single" w:color="auto" w:sz="4" w:space="0"/>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12</w:t>
            </w:r>
          </w:p>
        </w:tc>
        <w:tc>
          <w:tcPr>
            <w:tcW w:w="1234" w:type="dxa"/>
            <w:tcBorders>
              <w:top w:val="single" w:color="auto" w:sz="4" w:space="0"/>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6</w:t>
            </w:r>
          </w:p>
        </w:tc>
        <w:tc>
          <w:tcPr>
            <w:tcW w:w="1732" w:type="dxa"/>
            <w:tcBorders>
              <w:top w:val="single" w:color="auto" w:sz="4" w:space="0"/>
              <w:left w:val="nil"/>
              <w:bottom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93" w:hRule="atLeast"/>
        </w:trPr>
        <w:tc>
          <w:tcPr>
            <w:tcW w:w="537" w:type="dxa"/>
            <w:tcBorders>
              <w:top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2</w:t>
            </w:r>
          </w:p>
        </w:tc>
        <w:tc>
          <w:tcPr>
            <w:tcW w:w="779" w:type="dxa"/>
            <w:tcBorders>
              <w:top w:val="nil"/>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13</w:t>
            </w:r>
          </w:p>
        </w:tc>
        <w:tc>
          <w:tcPr>
            <w:tcW w:w="1234" w:type="dxa"/>
            <w:tcBorders>
              <w:top w:val="nil"/>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18</w:t>
            </w:r>
          </w:p>
        </w:tc>
        <w:tc>
          <w:tcPr>
            <w:tcW w:w="1732" w:type="dxa"/>
            <w:tcBorders>
              <w:top w:val="nil"/>
              <w:left w:val="nil"/>
              <w:bottom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24%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93" w:hRule="atLeast"/>
        </w:trPr>
        <w:tc>
          <w:tcPr>
            <w:tcW w:w="537" w:type="dxa"/>
            <w:tcBorders>
              <w:top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3</w:t>
            </w:r>
          </w:p>
        </w:tc>
        <w:tc>
          <w:tcPr>
            <w:tcW w:w="779" w:type="dxa"/>
            <w:tcBorders>
              <w:top w:val="nil"/>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14</w:t>
            </w:r>
          </w:p>
        </w:tc>
        <w:tc>
          <w:tcPr>
            <w:tcW w:w="1234" w:type="dxa"/>
            <w:tcBorders>
              <w:top w:val="nil"/>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27</w:t>
            </w:r>
          </w:p>
        </w:tc>
        <w:tc>
          <w:tcPr>
            <w:tcW w:w="1732" w:type="dxa"/>
            <w:tcBorders>
              <w:top w:val="nil"/>
              <w:left w:val="nil"/>
              <w:bottom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36%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93" w:hRule="atLeast"/>
        </w:trPr>
        <w:tc>
          <w:tcPr>
            <w:tcW w:w="537" w:type="dxa"/>
            <w:tcBorders>
              <w:top w:val="nil"/>
              <w:bottom w:val="single" w:color="auto" w:sz="4" w:space="0"/>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4</w:t>
            </w:r>
          </w:p>
        </w:tc>
        <w:tc>
          <w:tcPr>
            <w:tcW w:w="779" w:type="dxa"/>
            <w:tcBorders>
              <w:top w:val="nil"/>
              <w:left w:val="nil"/>
              <w:bottom w:val="single" w:color="auto" w:sz="4" w:space="0"/>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15</w:t>
            </w:r>
          </w:p>
        </w:tc>
        <w:tc>
          <w:tcPr>
            <w:tcW w:w="1234" w:type="dxa"/>
            <w:tcBorders>
              <w:top w:val="nil"/>
              <w:left w:val="nil"/>
              <w:bottom w:val="single" w:color="auto" w:sz="4" w:space="0"/>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24</w:t>
            </w:r>
          </w:p>
        </w:tc>
        <w:tc>
          <w:tcPr>
            <w:tcW w:w="1732" w:type="dxa"/>
            <w:tcBorders>
              <w:top w:val="nil"/>
              <w:left w:val="nil"/>
              <w:bottom w:val="single" w:color="auto" w:sz="4" w:space="0"/>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2" w:hRule="atLeast"/>
        </w:trPr>
        <w:tc>
          <w:tcPr>
            <w:tcW w:w="1316" w:type="dxa"/>
            <w:gridSpan w:val="2"/>
            <w:tcBorders>
              <w:top w:val="single" w:color="auto" w:sz="4" w:space="0"/>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Total</w:t>
            </w:r>
          </w:p>
        </w:tc>
        <w:tc>
          <w:tcPr>
            <w:tcW w:w="1234"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75</w:t>
            </w:r>
          </w:p>
        </w:tc>
        <w:tc>
          <w:tcPr>
            <w:tcW w:w="1732" w:type="dxa"/>
            <w:tcBorders>
              <w:top w:val="single" w:color="auto" w:sz="4" w:space="0"/>
              <w:left w:val="nil"/>
              <w:bottom w:val="single" w:color="auto" w:sz="4" w:space="0"/>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100%</w:t>
            </w:r>
          </w:p>
        </w:tc>
      </w:tr>
    </w:tbl>
    <w:p>
      <w:pPr>
        <w:spacing w:line="240" w:lineRule="auto"/>
        <w:ind w:left="0" w:firstLine="0"/>
        <w:rPr>
          <w:rFonts w:ascii="Arial" w:hAnsi="Arial" w:cs="Arial"/>
          <w:b/>
          <w:sz w:val="20"/>
          <w:szCs w:val="20"/>
        </w:rPr>
      </w:pPr>
      <w:r>
        <w:rPr>
          <w:rFonts w:ascii="Arial" w:hAnsi="Arial" w:cs="Arial"/>
          <w:b/>
          <w:sz w:val="20"/>
          <w:szCs w:val="20"/>
        </w:rPr>
        <w:t>Sumber : Data Primer 2017</w:t>
      </w:r>
    </w:p>
    <w:p>
      <w:pPr>
        <w:spacing w:line="240" w:lineRule="auto"/>
        <w:ind w:left="0" w:firstLine="0"/>
        <w:rPr>
          <w:rFonts w:ascii="Arial" w:hAnsi="Arial" w:cs="Arial"/>
          <w:b/>
          <w:sz w:val="20"/>
          <w:szCs w:val="20"/>
        </w:rPr>
      </w:pPr>
    </w:p>
    <w:p>
      <w:pPr>
        <w:spacing w:line="240" w:lineRule="auto"/>
        <w:ind w:left="360" w:firstLine="0"/>
        <w:rPr>
          <w:rFonts w:ascii="Arial" w:hAnsi="Arial" w:cs="Arial"/>
          <w:sz w:val="20"/>
          <w:szCs w:val="20"/>
        </w:rPr>
      </w:pPr>
      <w:r>
        <w:rPr>
          <w:rFonts w:ascii="Arial" w:hAnsi="Arial" w:cs="Arial"/>
          <w:sz w:val="20"/>
          <w:szCs w:val="20"/>
        </w:rPr>
        <w:t xml:space="preserve">       Berdasarkan tabel diatas, usia responden dengan jumlah tertinggi adalah usia 14 tahun sebanyak (36%) dan jumlah terendah adalah usia 12 tahun sebanyak (8%).</w:t>
      </w:r>
    </w:p>
    <w:p>
      <w:pPr>
        <w:spacing w:line="240" w:lineRule="auto"/>
        <w:ind w:left="360" w:firstLine="0"/>
        <w:rPr>
          <w:rFonts w:ascii="Arial" w:hAnsi="Arial" w:cs="Arial"/>
          <w:sz w:val="20"/>
          <w:szCs w:val="20"/>
        </w:rPr>
      </w:pPr>
    </w:p>
    <w:p>
      <w:pPr>
        <w:spacing w:line="240" w:lineRule="auto"/>
        <w:ind w:left="360" w:firstLine="0"/>
        <w:rPr>
          <w:rFonts w:ascii="Arial" w:hAnsi="Arial" w:cs="Arial"/>
          <w:b/>
          <w:sz w:val="20"/>
          <w:szCs w:val="20"/>
        </w:rPr>
      </w:pPr>
      <w:r>
        <w:rPr>
          <w:rFonts w:ascii="Arial" w:hAnsi="Arial" w:cs="Arial"/>
          <w:b/>
          <w:sz w:val="20"/>
          <w:szCs w:val="20"/>
        </w:rPr>
        <w:t>Tabel 3 Distribusi Responden Menurut Kelas Siswa-siswi SMP Al-Azhar Syifa Budi Samarinda Tahun 2016-2017</w:t>
      </w:r>
    </w:p>
    <w:tbl>
      <w:tblPr>
        <w:tblStyle w:val="6"/>
        <w:tblW w:w="4091" w:type="dxa"/>
        <w:tblInd w:w="18" w:type="dxa"/>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96"/>
        <w:gridCol w:w="750"/>
        <w:gridCol w:w="1161"/>
        <w:gridCol w:w="1284"/>
      </w:tblGrid>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896" w:type="dxa"/>
            <w:tcBorders>
              <w:top w:val="single" w:color="auto" w:sz="4" w:space="0"/>
              <w:bottom w:val="single" w:color="auto" w:sz="4" w:space="0"/>
              <w:right w:val="nil"/>
            </w:tcBorders>
          </w:tcPr>
          <w:p>
            <w:pPr>
              <w:pStyle w:val="7"/>
              <w:spacing w:line="240" w:lineRule="auto"/>
              <w:ind w:left="0" w:firstLine="0"/>
              <w:jc w:val="center"/>
              <w:rPr>
                <w:rFonts w:ascii="Arial" w:hAnsi="Arial" w:cs="Arial"/>
                <w:b/>
                <w:sz w:val="20"/>
                <w:szCs w:val="20"/>
              </w:rPr>
            </w:pPr>
            <w:r>
              <w:rPr>
                <w:rFonts w:ascii="Arial" w:hAnsi="Arial" w:cs="Arial"/>
                <w:b/>
                <w:sz w:val="20"/>
                <w:szCs w:val="20"/>
              </w:rPr>
              <w:t>No</w:t>
            </w:r>
          </w:p>
        </w:tc>
        <w:tc>
          <w:tcPr>
            <w:tcW w:w="750" w:type="dxa"/>
            <w:tcBorders>
              <w:top w:val="single" w:color="auto" w:sz="4" w:space="0"/>
              <w:left w:val="nil"/>
              <w:bottom w:val="single" w:color="auto" w:sz="4" w:space="0"/>
              <w:right w:val="nil"/>
            </w:tcBorders>
          </w:tcPr>
          <w:p>
            <w:pPr>
              <w:pStyle w:val="7"/>
              <w:spacing w:line="240" w:lineRule="auto"/>
              <w:ind w:left="0" w:firstLine="0"/>
              <w:jc w:val="center"/>
              <w:rPr>
                <w:rFonts w:ascii="Arial" w:hAnsi="Arial" w:cs="Arial"/>
                <w:b/>
                <w:sz w:val="20"/>
                <w:szCs w:val="20"/>
              </w:rPr>
            </w:pPr>
            <w:r>
              <w:rPr>
                <w:rFonts w:ascii="Arial" w:hAnsi="Arial" w:cs="Arial"/>
                <w:b/>
                <w:sz w:val="20"/>
                <w:szCs w:val="20"/>
              </w:rPr>
              <w:t>Kelas</w:t>
            </w:r>
          </w:p>
        </w:tc>
        <w:tc>
          <w:tcPr>
            <w:tcW w:w="1161" w:type="dxa"/>
            <w:tcBorders>
              <w:top w:val="single" w:color="auto" w:sz="4" w:space="0"/>
              <w:left w:val="nil"/>
              <w:bottom w:val="single" w:color="auto" w:sz="4" w:space="0"/>
              <w:right w:val="nil"/>
            </w:tcBorders>
          </w:tcPr>
          <w:p>
            <w:pPr>
              <w:pStyle w:val="7"/>
              <w:spacing w:line="240" w:lineRule="auto"/>
              <w:ind w:left="0" w:firstLine="0"/>
              <w:jc w:val="center"/>
              <w:rPr>
                <w:rFonts w:ascii="Arial" w:hAnsi="Arial" w:cs="Arial"/>
                <w:b/>
                <w:sz w:val="20"/>
                <w:szCs w:val="20"/>
              </w:rPr>
            </w:pPr>
            <w:r>
              <w:rPr>
                <w:rFonts w:ascii="Arial" w:hAnsi="Arial" w:cs="Arial"/>
                <w:b/>
                <w:sz w:val="20"/>
                <w:szCs w:val="20"/>
              </w:rPr>
              <w:t>Frekuensi</w:t>
            </w:r>
          </w:p>
        </w:tc>
        <w:tc>
          <w:tcPr>
            <w:tcW w:w="1284" w:type="dxa"/>
            <w:tcBorders>
              <w:top w:val="single" w:color="auto" w:sz="4" w:space="0"/>
              <w:left w:val="nil"/>
              <w:bottom w:val="single" w:color="auto" w:sz="4" w:space="0"/>
              <w:right w:val="nil"/>
            </w:tcBorders>
          </w:tcPr>
          <w:p>
            <w:pPr>
              <w:pStyle w:val="7"/>
              <w:spacing w:line="240" w:lineRule="auto"/>
              <w:ind w:left="0" w:firstLine="0"/>
              <w:jc w:val="center"/>
              <w:rPr>
                <w:rFonts w:ascii="Arial" w:hAnsi="Arial" w:cs="Arial"/>
                <w:b/>
                <w:sz w:val="20"/>
                <w:szCs w:val="20"/>
              </w:rPr>
            </w:pPr>
            <w:r>
              <w:rPr>
                <w:rFonts w:ascii="Arial" w:hAnsi="Arial" w:cs="Arial"/>
                <w:b/>
                <w:sz w:val="20"/>
                <w:szCs w:val="20"/>
              </w:rPr>
              <w:t>Presentase (%)</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896" w:type="dxa"/>
            <w:tcBorders>
              <w:top w:val="single" w:color="auto" w:sz="4" w:space="0"/>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w:t>
            </w:r>
          </w:p>
        </w:tc>
        <w:tc>
          <w:tcPr>
            <w:tcW w:w="750" w:type="dxa"/>
            <w:tcBorders>
              <w:top w:val="single" w:color="auto" w:sz="4" w:space="0"/>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VII A</w:t>
            </w:r>
          </w:p>
        </w:tc>
        <w:tc>
          <w:tcPr>
            <w:tcW w:w="1161" w:type="dxa"/>
            <w:tcBorders>
              <w:top w:val="single" w:color="auto" w:sz="4" w:space="0"/>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11</w:t>
            </w:r>
          </w:p>
        </w:tc>
        <w:tc>
          <w:tcPr>
            <w:tcW w:w="1284" w:type="dxa"/>
            <w:tcBorders>
              <w:top w:val="single" w:color="auto" w:sz="4" w:space="0"/>
              <w:left w:val="nil"/>
              <w:bottom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14.7%</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896" w:type="dxa"/>
            <w:tcBorders>
              <w:top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2</w:t>
            </w:r>
          </w:p>
        </w:tc>
        <w:tc>
          <w:tcPr>
            <w:tcW w:w="750" w:type="dxa"/>
            <w:tcBorders>
              <w:top w:val="nil"/>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VII B</w:t>
            </w:r>
          </w:p>
        </w:tc>
        <w:tc>
          <w:tcPr>
            <w:tcW w:w="1161" w:type="dxa"/>
            <w:tcBorders>
              <w:top w:val="nil"/>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10</w:t>
            </w:r>
          </w:p>
        </w:tc>
        <w:tc>
          <w:tcPr>
            <w:tcW w:w="1284" w:type="dxa"/>
            <w:tcBorders>
              <w:top w:val="nil"/>
              <w:left w:val="nil"/>
              <w:bottom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13.3%</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896" w:type="dxa"/>
            <w:tcBorders>
              <w:top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3</w:t>
            </w:r>
          </w:p>
        </w:tc>
        <w:tc>
          <w:tcPr>
            <w:tcW w:w="750" w:type="dxa"/>
            <w:tcBorders>
              <w:top w:val="nil"/>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VIII A</w:t>
            </w:r>
          </w:p>
        </w:tc>
        <w:tc>
          <w:tcPr>
            <w:tcW w:w="1161" w:type="dxa"/>
            <w:tcBorders>
              <w:top w:val="nil"/>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15</w:t>
            </w:r>
          </w:p>
        </w:tc>
        <w:tc>
          <w:tcPr>
            <w:tcW w:w="1284" w:type="dxa"/>
            <w:tcBorders>
              <w:top w:val="nil"/>
              <w:left w:val="nil"/>
              <w:bottom w:val="nil"/>
            </w:tcBorders>
          </w:tcPr>
          <w:p>
            <w:pPr>
              <w:pStyle w:val="7"/>
              <w:spacing w:line="240" w:lineRule="auto"/>
              <w:ind w:left="0" w:firstLine="0"/>
              <w:jc w:val="center"/>
              <w:rPr>
                <w:rFonts w:ascii="Arial" w:hAnsi="Arial" w:cs="Arial"/>
                <w:sz w:val="20"/>
                <w:szCs w:val="20"/>
              </w:rPr>
            </w:pPr>
            <w:r>
              <w:rPr>
                <w:rFonts w:ascii="Arial" w:hAnsi="Arial" w:cs="Arial"/>
                <w:sz w:val="20"/>
                <w:szCs w:val="20"/>
              </w:rPr>
              <w:t>20%</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896" w:type="dxa"/>
            <w:tcBorders>
              <w:top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4</w:t>
            </w:r>
          </w:p>
        </w:tc>
        <w:tc>
          <w:tcPr>
            <w:tcW w:w="750" w:type="dxa"/>
            <w:tcBorders>
              <w:top w:val="nil"/>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VIII B</w:t>
            </w:r>
          </w:p>
        </w:tc>
        <w:tc>
          <w:tcPr>
            <w:tcW w:w="1161" w:type="dxa"/>
            <w:tcBorders>
              <w:top w:val="nil"/>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14</w:t>
            </w:r>
          </w:p>
        </w:tc>
        <w:tc>
          <w:tcPr>
            <w:tcW w:w="1284" w:type="dxa"/>
            <w:tcBorders>
              <w:top w:val="nil"/>
              <w:left w:val="nil"/>
              <w:bottom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18.7%</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896" w:type="dxa"/>
            <w:tcBorders>
              <w:top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5</w:t>
            </w:r>
          </w:p>
        </w:tc>
        <w:tc>
          <w:tcPr>
            <w:tcW w:w="750" w:type="dxa"/>
            <w:tcBorders>
              <w:top w:val="nil"/>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IX A</w:t>
            </w:r>
          </w:p>
        </w:tc>
        <w:tc>
          <w:tcPr>
            <w:tcW w:w="1161" w:type="dxa"/>
            <w:tcBorders>
              <w:top w:val="nil"/>
              <w:left w:val="nil"/>
              <w:bottom w:val="nil"/>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15</w:t>
            </w:r>
          </w:p>
        </w:tc>
        <w:tc>
          <w:tcPr>
            <w:tcW w:w="1284" w:type="dxa"/>
            <w:tcBorders>
              <w:top w:val="nil"/>
              <w:left w:val="nil"/>
              <w:bottom w:val="nil"/>
            </w:tcBorders>
          </w:tcPr>
          <w:p>
            <w:pPr>
              <w:pStyle w:val="7"/>
              <w:spacing w:line="240" w:lineRule="auto"/>
              <w:ind w:left="0" w:firstLine="0"/>
              <w:jc w:val="center"/>
              <w:rPr>
                <w:rFonts w:ascii="Arial" w:hAnsi="Arial" w:cs="Arial"/>
                <w:sz w:val="20"/>
                <w:szCs w:val="20"/>
              </w:rPr>
            </w:pPr>
            <w:r>
              <w:rPr>
                <w:rFonts w:ascii="Arial" w:hAnsi="Arial" w:cs="Arial"/>
                <w:sz w:val="20"/>
                <w:szCs w:val="20"/>
              </w:rPr>
              <w:t>20%</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896" w:type="dxa"/>
            <w:tcBorders>
              <w:top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6</w:t>
            </w:r>
          </w:p>
        </w:tc>
        <w:tc>
          <w:tcPr>
            <w:tcW w:w="750" w:type="dxa"/>
            <w:tcBorders>
              <w:top w:val="nil"/>
              <w:left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IX B</w:t>
            </w:r>
          </w:p>
        </w:tc>
        <w:tc>
          <w:tcPr>
            <w:tcW w:w="1161" w:type="dxa"/>
            <w:tcBorders>
              <w:top w:val="nil"/>
              <w:left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10</w:t>
            </w:r>
          </w:p>
        </w:tc>
        <w:tc>
          <w:tcPr>
            <w:tcW w:w="1284" w:type="dxa"/>
            <w:tcBorders>
              <w:top w:val="nil"/>
              <w:left w:val="nil"/>
              <w:bottom w:val="single" w:color="auto" w:sz="4" w:space="0"/>
            </w:tcBorders>
          </w:tcPr>
          <w:p>
            <w:pPr>
              <w:pStyle w:val="7"/>
              <w:spacing w:line="240" w:lineRule="auto"/>
              <w:ind w:left="0" w:firstLine="0"/>
              <w:jc w:val="center"/>
              <w:rPr>
                <w:rFonts w:ascii="Arial" w:hAnsi="Arial" w:cs="Arial"/>
                <w:sz w:val="20"/>
                <w:szCs w:val="20"/>
              </w:rPr>
            </w:pPr>
            <w:r>
              <w:rPr>
                <w:rFonts w:ascii="Arial" w:hAnsi="Arial" w:cs="Arial"/>
                <w:sz w:val="20"/>
                <w:szCs w:val="20"/>
              </w:rPr>
              <w:t>13.3%</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646" w:type="dxa"/>
            <w:gridSpan w:val="2"/>
            <w:tcBorders>
              <w:top w:val="single" w:color="auto" w:sz="4" w:space="0"/>
              <w:bottom w:val="single" w:color="auto" w:sz="4" w:space="0"/>
              <w:right w:val="nil"/>
            </w:tcBorders>
          </w:tcPr>
          <w:p>
            <w:pPr>
              <w:pStyle w:val="7"/>
              <w:spacing w:line="240" w:lineRule="auto"/>
              <w:ind w:left="0" w:firstLine="0"/>
              <w:jc w:val="center"/>
              <w:rPr>
                <w:rFonts w:ascii="Arial" w:hAnsi="Arial" w:cs="Arial"/>
                <w:b/>
                <w:sz w:val="20"/>
                <w:szCs w:val="20"/>
              </w:rPr>
            </w:pPr>
            <w:r>
              <w:rPr>
                <w:rFonts w:ascii="Arial" w:hAnsi="Arial" w:cs="Arial"/>
                <w:b/>
                <w:sz w:val="20"/>
                <w:szCs w:val="20"/>
              </w:rPr>
              <w:t>Total</w:t>
            </w:r>
          </w:p>
        </w:tc>
        <w:tc>
          <w:tcPr>
            <w:tcW w:w="1161" w:type="dxa"/>
            <w:tcBorders>
              <w:top w:val="single" w:color="auto" w:sz="4" w:space="0"/>
              <w:left w:val="nil"/>
              <w:bottom w:val="single" w:color="auto" w:sz="4" w:space="0"/>
              <w:right w:val="nil"/>
            </w:tcBorders>
          </w:tcPr>
          <w:p>
            <w:pPr>
              <w:pStyle w:val="7"/>
              <w:spacing w:line="240" w:lineRule="auto"/>
              <w:ind w:left="0" w:firstLine="0"/>
              <w:jc w:val="center"/>
              <w:rPr>
                <w:rFonts w:ascii="Arial" w:hAnsi="Arial" w:cs="Arial"/>
                <w:b/>
                <w:sz w:val="20"/>
                <w:szCs w:val="20"/>
              </w:rPr>
            </w:pPr>
            <w:r>
              <w:rPr>
                <w:rFonts w:ascii="Arial" w:hAnsi="Arial" w:cs="Arial"/>
                <w:b/>
                <w:sz w:val="20"/>
                <w:szCs w:val="20"/>
              </w:rPr>
              <w:t>75</w:t>
            </w:r>
          </w:p>
        </w:tc>
        <w:tc>
          <w:tcPr>
            <w:tcW w:w="1284" w:type="dxa"/>
            <w:tcBorders>
              <w:top w:val="single" w:color="auto" w:sz="4" w:space="0"/>
              <w:left w:val="nil"/>
              <w:bottom w:val="single" w:color="auto" w:sz="4" w:space="0"/>
            </w:tcBorders>
          </w:tcPr>
          <w:p>
            <w:pPr>
              <w:pStyle w:val="7"/>
              <w:spacing w:line="240" w:lineRule="auto"/>
              <w:ind w:left="0" w:firstLine="0"/>
              <w:jc w:val="center"/>
              <w:rPr>
                <w:rFonts w:ascii="Arial" w:hAnsi="Arial" w:cs="Arial"/>
                <w:b/>
                <w:sz w:val="20"/>
                <w:szCs w:val="20"/>
              </w:rPr>
            </w:pPr>
            <w:r>
              <w:rPr>
                <w:rFonts w:ascii="Arial" w:hAnsi="Arial" w:cs="Arial"/>
                <w:b/>
                <w:sz w:val="20"/>
                <w:szCs w:val="20"/>
              </w:rPr>
              <w:t>100%</w:t>
            </w:r>
          </w:p>
        </w:tc>
      </w:tr>
    </w:tbl>
    <w:p>
      <w:pPr>
        <w:spacing w:line="240" w:lineRule="auto"/>
        <w:ind w:left="360" w:firstLine="0"/>
        <w:rPr>
          <w:rFonts w:ascii="Arial" w:hAnsi="Arial" w:cs="Arial"/>
          <w:b/>
          <w:sz w:val="20"/>
          <w:szCs w:val="20"/>
        </w:rPr>
      </w:pPr>
      <w:r>
        <w:rPr>
          <w:rFonts w:ascii="Arial" w:hAnsi="Arial" w:cs="Arial"/>
          <w:b/>
          <w:sz w:val="20"/>
          <w:szCs w:val="20"/>
        </w:rPr>
        <w:t>Sumber: Data Primer 2017</w:t>
      </w:r>
    </w:p>
    <w:p>
      <w:pPr>
        <w:spacing w:line="240" w:lineRule="auto"/>
        <w:ind w:left="360" w:firstLine="0"/>
        <w:rPr>
          <w:rFonts w:ascii="Arial" w:hAnsi="Arial" w:cs="Arial"/>
          <w:b/>
          <w:sz w:val="20"/>
          <w:szCs w:val="20"/>
        </w:rPr>
      </w:pPr>
    </w:p>
    <w:p>
      <w:pPr>
        <w:spacing w:line="240" w:lineRule="auto"/>
        <w:ind w:left="360" w:firstLine="0"/>
        <w:rPr>
          <w:rFonts w:ascii="Arial" w:hAnsi="Arial" w:cs="Arial"/>
          <w:sz w:val="20"/>
          <w:szCs w:val="20"/>
        </w:rPr>
      </w:pPr>
      <w:r>
        <w:rPr>
          <w:rFonts w:ascii="Arial" w:hAnsi="Arial" w:cs="Arial"/>
          <w:sz w:val="20"/>
          <w:szCs w:val="20"/>
        </w:rPr>
        <w:t xml:space="preserve">       Menurut tabel diatas, diketahui bahwa jumlah responden tertinggi adalah siswa kelas VIII A dan siswa kelas IX A yaitu sebesar 20% dan yang terendah adalah siswa kelas VII B dan siswa kelas IX B sebesar 13.3%.</w:t>
      </w:r>
    </w:p>
    <w:p>
      <w:pPr>
        <w:pStyle w:val="7"/>
        <w:numPr>
          <w:ilvl w:val="0"/>
          <w:numId w:val="2"/>
        </w:numPr>
        <w:spacing w:line="240" w:lineRule="auto"/>
        <w:ind w:left="360"/>
        <w:rPr>
          <w:rFonts w:ascii="Arial" w:hAnsi="Arial" w:cs="Arial"/>
          <w:sz w:val="20"/>
          <w:szCs w:val="20"/>
        </w:rPr>
      </w:pPr>
      <w:r>
        <w:rPr>
          <w:rFonts w:ascii="Arial" w:hAnsi="Arial" w:cs="Arial"/>
          <w:sz w:val="20"/>
          <w:szCs w:val="20"/>
        </w:rPr>
        <w:t>Analisa Univariat</w:t>
      </w:r>
    </w:p>
    <w:p>
      <w:pPr>
        <w:pStyle w:val="7"/>
        <w:spacing w:line="240" w:lineRule="auto"/>
        <w:ind w:left="360" w:firstLine="0"/>
        <w:rPr>
          <w:rFonts w:ascii="Arial" w:hAnsi="Arial" w:cs="Arial"/>
          <w:b/>
          <w:sz w:val="20"/>
          <w:szCs w:val="20"/>
        </w:rPr>
      </w:pPr>
      <w:r>
        <w:rPr>
          <w:rFonts w:ascii="Arial" w:hAnsi="Arial" w:cs="Arial"/>
          <w:b/>
          <w:sz w:val="20"/>
          <w:szCs w:val="20"/>
        </w:rPr>
        <w:t>Tabel 4 Distribusi Pengetahuan Kesehatan Reproduksi pada Siswa-siswi SMP Al-Azhar Syifa Budi Samarinda Tahun 2017</w:t>
      </w:r>
    </w:p>
    <w:tbl>
      <w:tblPr>
        <w:tblStyle w:val="6"/>
        <w:tblW w:w="4050" w:type="dxa"/>
        <w:tblInd w:w="19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40"/>
        <w:gridCol w:w="990"/>
        <w:gridCol w:w="1170"/>
        <w:gridCol w:w="135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540"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No</w:t>
            </w:r>
          </w:p>
        </w:tc>
        <w:tc>
          <w:tcPr>
            <w:tcW w:w="990"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Kriteria</w:t>
            </w:r>
          </w:p>
        </w:tc>
        <w:tc>
          <w:tcPr>
            <w:tcW w:w="1170"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Frekuensi</w:t>
            </w:r>
          </w:p>
        </w:tc>
        <w:tc>
          <w:tcPr>
            <w:tcW w:w="1350"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Presentase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540" w:type="dxa"/>
            <w:tcBorders>
              <w:top w:val="single" w:color="auto" w:sz="4" w:space="0"/>
              <w:left w:val="nil"/>
              <w:bottom w:val="nil"/>
              <w:right w:val="nil"/>
            </w:tcBorders>
            <w:vAlign w:val="center"/>
          </w:tcPr>
          <w:p>
            <w:pPr>
              <w:pStyle w:val="7"/>
              <w:spacing w:line="240" w:lineRule="auto"/>
              <w:ind w:left="0" w:firstLine="0"/>
              <w:jc w:val="center"/>
              <w:rPr>
                <w:rFonts w:ascii="Arial" w:hAnsi="Arial" w:cs="Arial"/>
                <w:sz w:val="20"/>
                <w:szCs w:val="20"/>
              </w:rPr>
            </w:pPr>
            <w:r>
              <w:rPr>
                <w:rFonts w:ascii="Arial" w:hAnsi="Arial" w:cs="Arial"/>
                <w:sz w:val="20"/>
                <w:szCs w:val="20"/>
              </w:rPr>
              <w:t>1</w:t>
            </w:r>
          </w:p>
        </w:tc>
        <w:tc>
          <w:tcPr>
            <w:tcW w:w="990" w:type="dxa"/>
            <w:tcBorders>
              <w:top w:val="single" w:color="auto" w:sz="4" w:space="0"/>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Baik</w:t>
            </w:r>
          </w:p>
        </w:tc>
        <w:tc>
          <w:tcPr>
            <w:tcW w:w="1170" w:type="dxa"/>
            <w:tcBorders>
              <w:top w:val="single" w:color="auto" w:sz="4" w:space="0"/>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12</w:t>
            </w:r>
          </w:p>
        </w:tc>
        <w:tc>
          <w:tcPr>
            <w:tcW w:w="1350" w:type="dxa"/>
            <w:tcBorders>
              <w:top w:val="single" w:color="auto" w:sz="4" w:space="0"/>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16%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540" w:type="dxa"/>
            <w:tcBorders>
              <w:top w:val="nil"/>
              <w:left w:val="nil"/>
              <w:bottom w:val="nil"/>
              <w:right w:val="nil"/>
            </w:tcBorders>
            <w:vAlign w:val="center"/>
          </w:tcPr>
          <w:p>
            <w:pPr>
              <w:pStyle w:val="7"/>
              <w:spacing w:line="240" w:lineRule="auto"/>
              <w:ind w:left="0" w:firstLine="0"/>
              <w:jc w:val="center"/>
              <w:rPr>
                <w:rFonts w:ascii="Arial" w:hAnsi="Arial" w:cs="Arial"/>
                <w:sz w:val="20"/>
                <w:szCs w:val="20"/>
              </w:rPr>
            </w:pPr>
            <w:r>
              <w:rPr>
                <w:rFonts w:ascii="Arial" w:hAnsi="Arial" w:cs="Arial"/>
                <w:sz w:val="20"/>
                <w:szCs w:val="20"/>
              </w:rPr>
              <w:t>2</w:t>
            </w:r>
          </w:p>
        </w:tc>
        <w:tc>
          <w:tcPr>
            <w:tcW w:w="990" w:type="dxa"/>
            <w:tcBorders>
              <w:top w:val="nil"/>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Cukup</w:t>
            </w:r>
          </w:p>
        </w:tc>
        <w:tc>
          <w:tcPr>
            <w:tcW w:w="1170" w:type="dxa"/>
            <w:tcBorders>
              <w:top w:val="nil"/>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39</w:t>
            </w:r>
          </w:p>
        </w:tc>
        <w:tc>
          <w:tcPr>
            <w:tcW w:w="1350" w:type="dxa"/>
            <w:tcBorders>
              <w:top w:val="nil"/>
              <w:left w:val="nil"/>
              <w:bottom w:val="nil"/>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52%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540" w:type="dxa"/>
            <w:tcBorders>
              <w:top w:val="nil"/>
              <w:left w:val="nil"/>
              <w:bottom w:val="single" w:color="000000" w:themeColor="text1" w:sz="4" w:space="0"/>
              <w:right w:val="nil"/>
            </w:tcBorders>
            <w:vAlign w:val="center"/>
          </w:tcPr>
          <w:p>
            <w:pPr>
              <w:pStyle w:val="7"/>
              <w:spacing w:line="240" w:lineRule="auto"/>
              <w:ind w:left="0" w:firstLine="0"/>
              <w:jc w:val="center"/>
              <w:rPr>
                <w:rFonts w:ascii="Arial" w:hAnsi="Arial" w:cs="Arial"/>
                <w:sz w:val="20"/>
                <w:szCs w:val="20"/>
              </w:rPr>
            </w:pPr>
            <w:r>
              <w:rPr>
                <w:rFonts w:ascii="Arial" w:hAnsi="Arial" w:cs="Arial"/>
                <w:sz w:val="20"/>
                <w:szCs w:val="20"/>
              </w:rPr>
              <w:t>3</w:t>
            </w:r>
          </w:p>
        </w:tc>
        <w:tc>
          <w:tcPr>
            <w:tcW w:w="990" w:type="dxa"/>
            <w:tcBorders>
              <w:top w:val="nil"/>
              <w:left w:val="nil"/>
              <w:bottom w:val="single" w:color="auto" w:sz="4" w:space="0"/>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Kurang</w:t>
            </w:r>
          </w:p>
        </w:tc>
        <w:tc>
          <w:tcPr>
            <w:tcW w:w="1170" w:type="dxa"/>
            <w:tcBorders>
              <w:top w:val="nil"/>
              <w:left w:val="nil"/>
              <w:bottom w:val="single" w:color="auto" w:sz="4" w:space="0"/>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24</w:t>
            </w:r>
          </w:p>
        </w:tc>
        <w:tc>
          <w:tcPr>
            <w:tcW w:w="1350" w:type="dxa"/>
            <w:tcBorders>
              <w:top w:val="nil"/>
              <w:left w:val="nil"/>
              <w:bottom w:val="single" w:color="auto" w:sz="4" w:space="0"/>
              <w:right w:val="nil"/>
            </w:tcBorders>
            <w:vAlign w:val="center"/>
          </w:tcPr>
          <w:p>
            <w:pPr>
              <w:pStyle w:val="7"/>
              <w:spacing w:line="276" w:lineRule="auto"/>
              <w:ind w:left="0" w:firstLine="0"/>
              <w:jc w:val="center"/>
              <w:rPr>
                <w:rFonts w:ascii="Arial" w:hAnsi="Arial" w:cs="Arial"/>
                <w:sz w:val="20"/>
                <w:szCs w:val="20"/>
              </w:rPr>
            </w:pPr>
            <w:r>
              <w:rPr>
                <w:rFonts w:ascii="Arial" w:hAnsi="Arial" w:cs="Arial"/>
                <w:sz w:val="20"/>
                <w:szCs w:val="20"/>
              </w:rPr>
              <w:t>32%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540" w:type="dxa"/>
            <w:tcBorders>
              <w:left w:val="nil"/>
              <w:right w:val="nil"/>
            </w:tcBorders>
            <w:vAlign w:val="center"/>
          </w:tcPr>
          <w:p>
            <w:pPr>
              <w:pStyle w:val="7"/>
              <w:spacing w:line="240" w:lineRule="auto"/>
              <w:ind w:left="0" w:firstLine="0"/>
              <w:jc w:val="center"/>
              <w:rPr>
                <w:rFonts w:ascii="Arial" w:hAnsi="Arial" w:cs="Arial"/>
                <w:b/>
                <w:sz w:val="20"/>
                <w:szCs w:val="20"/>
              </w:rPr>
            </w:pPr>
          </w:p>
        </w:tc>
        <w:tc>
          <w:tcPr>
            <w:tcW w:w="990" w:type="dxa"/>
            <w:tcBorders>
              <w:top w:val="single" w:color="auto" w:sz="4" w:space="0"/>
              <w:left w:val="nil"/>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Total</w:t>
            </w:r>
          </w:p>
        </w:tc>
        <w:tc>
          <w:tcPr>
            <w:tcW w:w="1170" w:type="dxa"/>
            <w:tcBorders>
              <w:top w:val="single" w:color="auto" w:sz="4" w:space="0"/>
              <w:left w:val="nil"/>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75</w:t>
            </w:r>
          </w:p>
        </w:tc>
        <w:tc>
          <w:tcPr>
            <w:tcW w:w="1350" w:type="dxa"/>
            <w:tcBorders>
              <w:top w:val="single" w:color="auto" w:sz="4" w:space="0"/>
              <w:left w:val="nil"/>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100%</w:t>
            </w:r>
          </w:p>
        </w:tc>
      </w:tr>
    </w:tbl>
    <w:p>
      <w:pPr>
        <w:spacing w:line="240" w:lineRule="auto"/>
        <w:ind w:left="360" w:firstLine="0"/>
        <w:rPr>
          <w:rFonts w:ascii="Arial" w:hAnsi="Arial" w:cs="Arial"/>
          <w:b/>
          <w:sz w:val="20"/>
          <w:szCs w:val="20"/>
        </w:rPr>
      </w:pPr>
      <w:r>
        <w:rPr>
          <w:rFonts w:ascii="Arial" w:hAnsi="Arial" w:cs="Arial"/>
          <w:b/>
          <w:sz w:val="20"/>
          <w:szCs w:val="20"/>
        </w:rPr>
        <w:t>Sumber : Data Primer 2017</w:t>
      </w:r>
    </w:p>
    <w:p>
      <w:pPr>
        <w:spacing w:line="240" w:lineRule="auto"/>
        <w:ind w:left="360" w:firstLine="0"/>
        <w:rPr>
          <w:rFonts w:ascii="Arial" w:hAnsi="Arial" w:cs="Arial"/>
          <w:b/>
          <w:sz w:val="20"/>
          <w:szCs w:val="20"/>
        </w:rPr>
      </w:pPr>
    </w:p>
    <w:p>
      <w:pPr>
        <w:spacing w:line="240" w:lineRule="auto"/>
        <w:ind w:left="360" w:firstLine="0"/>
        <w:rPr>
          <w:rFonts w:ascii="Arial" w:hAnsi="Arial" w:cs="Arial"/>
          <w:sz w:val="20"/>
          <w:szCs w:val="20"/>
        </w:rPr>
      </w:pPr>
      <w:r>
        <w:rPr>
          <w:rFonts w:ascii="Arial" w:hAnsi="Arial" w:cs="Arial"/>
          <w:sz w:val="20"/>
          <w:szCs w:val="20"/>
        </w:rPr>
        <w:t xml:space="preserve">       Menurut tabel diatas, dapat dilihat nilai pengetahuan kesehatan reproduksi. Bahwa dari 75 responden yang memiliki pengetahuan baik sebanyak 12 responden dengan presentase (16%), sedangkan yang memiliki pengetahuan cukup sebanyak 39 responden dengan presentase (52%) dan 24 responden dengan presentase (32%) memiliki pengetahuan yang kurang.</w:t>
      </w:r>
    </w:p>
    <w:p>
      <w:pPr>
        <w:spacing w:line="240" w:lineRule="auto"/>
        <w:ind w:left="360" w:firstLine="0"/>
        <w:rPr>
          <w:rFonts w:ascii="Arial" w:hAnsi="Arial" w:cs="Arial"/>
          <w:sz w:val="20"/>
          <w:szCs w:val="20"/>
        </w:rPr>
      </w:pPr>
    </w:p>
    <w:p>
      <w:pPr>
        <w:spacing w:line="240" w:lineRule="auto"/>
        <w:ind w:left="360" w:firstLine="0"/>
        <w:rPr>
          <w:rFonts w:ascii="Arial" w:hAnsi="Arial" w:cs="Arial"/>
          <w:sz w:val="20"/>
          <w:szCs w:val="20"/>
        </w:rPr>
      </w:pPr>
    </w:p>
    <w:p>
      <w:pPr>
        <w:spacing w:line="240" w:lineRule="auto"/>
        <w:ind w:left="360" w:firstLine="0"/>
        <w:rPr>
          <w:rFonts w:ascii="Arial" w:hAnsi="Arial" w:cs="Arial"/>
          <w:sz w:val="20"/>
          <w:szCs w:val="20"/>
        </w:rPr>
      </w:pPr>
    </w:p>
    <w:p>
      <w:pPr>
        <w:spacing w:line="240" w:lineRule="auto"/>
        <w:ind w:left="360" w:firstLine="0"/>
        <w:rPr>
          <w:rFonts w:ascii="Arial" w:hAnsi="Arial" w:cs="Arial"/>
          <w:b/>
          <w:sz w:val="20"/>
          <w:szCs w:val="20"/>
        </w:rPr>
      </w:pPr>
      <w:r>
        <w:rPr>
          <w:rFonts w:ascii="Arial" w:hAnsi="Arial" w:cs="Arial"/>
          <w:b/>
          <w:sz w:val="20"/>
          <w:szCs w:val="20"/>
        </w:rPr>
        <w:t>Tabel 5 Distribusi Peran Kader Kesehatan Remaja pada Siswa-siswi SMP Al-Azhar Syifa Budi Samarinda Tahun 2017</w:t>
      </w:r>
    </w:p>
    <w:tbl>
      <w:tblPr>
        <w:tblStyle w:val="6"/>
        <w:tblW w:w="43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23"/>
        <w:gridCol w:w="1031"/>
        <w:gridCol w:w="1317"/>
        <w:gridCol w:w="146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95" w:hRule="atLeast"/>
        </w:trPr>
        <w:tc>
          <w:tcPr>
            <w:tcW w:w="523"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No</w:t>
            </w:r>
          </w:p>
        </w:tc>
        <w:tc>
          <w:tcPr>
            <w:tcW w:w="1031"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Kriteria</w:t>
            </w:r>
          </w:p>
        </w:tc>
        <w:tc>
          <w:tcPr>
            <w:tcW w:w="1317"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Frekuensi</w:t>
            </w:r>
          </w:p>
        </w:tc>
        <w:tc>
          <w:tcPr>
            <w:tcW w:w="1460" w:type="dxa"/>
            <w:tcBorders>
              <w:top w:val="single" w:color="auto" w:sz="4" w:space="0"/>
              <w:left w:val="nil"/>
              <w:bottom w:val="single" w:color="auto" w:sz="4" w:space="0"/>
              <w:right w:val="nil"/>
            </w:tcBorders>
            <w:vAlign w:val="center"/>
          </w:tcPr>
          <w:p>
            <w:pPr>
              <w:pStyle w:val="7"/>
              <w:spacing w:line="240" w:lineRule="auto"/>
              <w:ind w:left="0" w:firstLine="0"/>
              <w:jc w:val="center"/>
              <w:rPr>
                <w:rFonts w:ascii="Arial" w:hAnsi="Arial" w:cs="Arial"/>
                <w:b/>
                <w:sz w:val="20"/>
                <w:szCs w:val="20"/>
              </w:rPr>
            </w:pPr>
            <w:r>
              <w:rPr>
                <w:rFonts w:ascii="Arial" w:hAnsi="Arial" w:cs="Arial"/>
                <w:b/>
                <w:sz w:val="20"/>
                <w:szCs w:val="20"/>
              </w:rPr>
              <w:t>Persentase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36" w:hRule="atLeast"/>
        </w:trPr>
        <w:tc>
          <w:tcPr>
            <w:tcW w:w="523" w:type="dxa"/>
            <w:tcBorders>
              <w:top w:val="single" w:color="auto" w:sz="4" w:space="0"/>
              <w:left w:val="nil"/>
              <w:bottom w:val="single" w:color="auto" w:sz="4" w:space="0"/>
              <w:right w:val="nil"/>
            </w:tcBorders>
          </w:tcPr>
          <w:p>
            <w:pPr>
              <w:pStyle w:val="7"/>
              <w:spacing w:line="240" w:lineRule="auto"/>
              <w:ind w:left="0" w:firstLine="0"/>
              <w:rPr>
                <w:rFonts w:ascii="Arial" w:hAnsi="Arial" w:cs="Arial"/>
                <w:sz w:val="20"/>
                <w:szCs w:val="20"/>
              </w:rPr>
            </w:pPr>
            <w:r>
              <w:rPr>
                <w:rFonts w:ascii="Arial" w:hAnsi="Arial" w:cs="Arial"/>
                <w:sz w:val="20"/>
                <w:szCs w:val="20"/>
              </w:rPr>
              <w:t>1.</w:t>
            </w:r>
          </w:p>
          <w:p>
            <w:pPr>
              <w:pStyle w:val="7"/>
              <w:spacing w:line="240" w:lineRule="auto"/>
              <w:ind w:left="0" w:firstLine="0"/>
              <w:jc w:val="center"/>
              <w:rPr>
                <w:rFonts w:ascii="Arial" w:hAnsi="Arial" w:cs="Arial"/>
                <w:sz w:val="20"/>
                <w:szCs w:val="20"/>
              </w:rPr>
            </w:pPr>
          </w:p>
          <w:p>
            <w:pPr>
              <w:spacing w:line="240" w:lineRule="auto"/>
              <w:ind w:left="0" w:firstLine="0"/>
              <w:jc w:val="center"/>
              <w:rPr>
                <w:rFonts w:ascii="Arial" w:hAnsi="Arial" w:cs="Arial"/>
                <w:sz w:val="20"/>
                <w:szCs w:val="20"/>
              </w:rPr>
            </w:pPr>
            <w:r>
              <w:rPr>
                <w:rFonts w:ascii="Arial" w:hAnsi="Arial" w:cs="Arial"/>
                <w:sz w:val="20"/>
                <w:szCs w:val="20"/>
              </w:rPr>
              <w:t>2.</w:t>
            </w:r>
          </w:p>
        </w:tc>
        <w:tc>
          <w:tcPr>
            <w:tcW w:w="1031" w:type="dxa"/>
            <w:tcBorders>
              <w:top w:val="single" w:color="auto" w:sz="4" w:space="0"/>
              <w:left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Baik</w:t>
            </w:r>
          </w:p>
          <w:p>
            <w:pPr>
              <w:pStyle w:val="7"/>
              <w:spacing w:line="240" w:lineRule="auto"/>
              <w:ind w:left="0" w:firstLine="0"/>
              <w:jc w:val="center"/>
              <w:rPr>
                <w:rFonts w:ascii="Arial" w:hAnsi="Arial" w:cs="Arial"/>
                <w:sz w:val="20"/>
                <w:szCs w:val="20"/>
              </w:rPr>
            </w:pPr>
          </w:p>
          <w:p>
            <w:pPr>
              <w:spacing w:line="240" w:lineRule="auto"/>
              <w:ind w:left="0" w:firstLine="0"/>
              <w:jc w:val="center"/>
              <w:rPr>
                <w:rFonts w:ascii="Arial" w:hAnsi="Arial" w:cs="Arial"/>
                <w:sz w:val="20"/>
                <w:szCs w:val="20"/>
              </w:rPr>
            </w:pPr>
            <w:r>
              <w:rPr>
                <w:rFonts w:ascii="Arial" w:hAnsi="Arial" w:cs="Arial"/>
                <w:sz w:val="20"/>
                <w:szCs w:val="20"/>
              </w:rPr>
              <w:t>Kurang</w:t>
            </w:r>
          </w:p>
        </w:tc>
        <w:tc>
          <w:tcPr>
            <w:tcW w:w="1317" w:type="dxa"/>
            <w:tcBorders>
              <w:top w:val="single" w:color="auto" w:sz="4" w:space="0"/>
              <w:left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39</w:t>
            </w:r>
          </w:p>
          <w:p>
            <w:pPr>
              <w:pStyle w:val="7"/>
              <w:spacing w:line="240" w:lineRule="auto"/>
              <w:ind w:left="0" w:firstLine="0"/>
              <w:jc w:val="center"/>
              <w:rPr>
                <w:rFonts w:ascii="Arial" w:hAnsi="Arial" w:cs="Arial"/>
                <w:sz w:val="20"/>
                <w:szCs w:val="20"/>
              </w:rPr>
            </w:pPr>
          </w:p>
          <w:p>
            <w:pPr>
              <w:pStyle w:val="7"/>
              <w:spacing w:line="240" w:lineRule="auto"/>
              <w:ind w:left="0" w:firstLine="0"/>
              <w:jc w:val="center"/>
              <w:rPr>
                <w:rFonts w:ascii="Arial" w:hAnsi="Arial" w:cs="Arial"/>
                <w:sz w:val="20"/>
                <w:szCs w:val="20"/>
              </w:rPr>
            </w:pPr>
            <w:r>
              <w:rPr>
                <w:rFonts w:ascii="Arial" w:hAnsi="Arial" w:cs="Arial"/>
                <w:sz w:val="20"/>
                <w:szCs w:val="20"/>
              </w:rPr>
              <w:t>36</w:t>
            </w:r>
          </w:p>
        </w:tc>
        <w:tc>
          <w:tcPr>
            <w:tcW w:w="1460" w:type="dxa"/>
            <w:tcBorders>
              <w:top w:val="single" w:color="auto" w:sz="4" w:space="0"/>
              <w:left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52%</w:t>
            </w:r>
          </w:p>
          <w:p>
            <w:pPr>
              <w:pStyle w:val="7"/>
              <w:spacing w:line="240" w:lineRule="auto"/>
              <w:ind w:left="0" w:firstLine="0"/>
              <w:jc w:val="center"/>
              <w:rPr>
                <w:rFonts w:ascii="Arial" w:hAnsi="Arial" w:cs="Arial"/>
                <w:sz w:val="20"/>
                <w:szCs w:val="20"/>
              </w:rPr>
            </w:pPr>
          </w:p>
          <w:p>
            <w:pPr>
              <w:pStyle w:val="7"/>
              <w:spacing w:line="240" w:lineRule="auto"/>
              <w:ind w:left="0" w:firstLine="0"/>
              <w:jc w:val="center"/>
              <w:rPr>
                <w:rFonts w:ascii="Arial" w:hAnsi="Arial" w:cs="Arial"/>
                <w:sz w:val="20"/>
                <w:szCs w:val="20"/>
              </w:rPr>
            </w:pPr>
            <w:r>
              <w:rPr>
                <w:rFonts w:ascii="Arial" w:hAnsi="Arial" w:cs="Arial"/>
                <w:sz w:val="20"/>
                <w:szCs w:val="20"/>
              </w:rPr>
              <w:t>48%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15" w:hRule="atLeast"/>
        </w:trPr>
        <w:tc>
          <w:tcPr>
            <w:tcW w:w="523" w:type="dxa"/>
            <w:tcBorders>
              <w:top w:val="single" w:color="auto" w:sz="4" w:space="0"/>
              <w:left w:val="nil"/>
              <w:bottom w:val="single" w:color="auto" w:sz="4" w:space="0"/>
              <w:right w:val="nil"/>
            </w:tcBorders>
          </w:tcPr>
          <w:p>
            <w:pPr>
              <w:spacing w:line="240" w:lineRule="auto"/>
              <w:ind w:left="0" w:firstLine="0"/>
              <w:jc w:val="center"/>
              <w:rPr>
                <w:rFonts w:ascii="Arial" w:hAnsi="Arial" w:cs="Arial"/>
                <w:sz w:val="20"/>
                <w:szCs w:val="20"/>
              </w:rPr>
            </w:pPr>
          </w:p>
        </w:tc>
        <w:tc>
          <w:tcPr>
            <w:tcW w:w="1031" w:type="dxa"/>
            <w:tcBorders>
              <w:top w:val="single" w:color="auto" w:sz="4" w:space="0"/>
              <w:left w:val="nil"/>
              <w:bottom w:val="single" w:color="auto" w:sz="4" w:space="0"/>
              <w:right w:val="nil"/>
            </w:tcBorders>
          </w:tcPr>
          <w:p>
            <w:pPr>
              <w:spacing w:line="240" w:lineRule="auto"/>
              <w:ind w:left="0" w:firstLine="0"/>
              <w:jc w:val="center"/>
              <w:rPr>
                <w:rFonts w:ascii="Arial" w:hAnsi="Arial" w:cs="Arial"/>
                <w:sz w:val="20"/>
                <w:szCs w:val="20"/>
              </w:rPr>
            </w:pPr>
            <w:r>
              <w:rPr>
                <w:rFonts w:ascii="Arial" w:hAnsi="Arial" w:cs="Arial"/>
                <w:sz w:val="20"/>
                <w:szCs w:val="20"/>
              </w:rPr>
              <w:t>Total</w:t>
            </w:r>
          </w:p>
        </w:tc>
        <w:tc>
          <w:tcPr>
            <w:tcW w:w="1317" w:type="dxa"/>
            <w:tcBorders>
              <w:top w:val="single" w:color="auto" w:sz="4" w:space="0"/>
              <w:left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75</w:t>
            </w:r>
          </w:p>
        </w:tc>
        <w:tc>
          <w:tcPr>
            <w:tcW w:w="1460" w:type="dxa"/>
            <w:tcBorders>
              <w:top w:val="single" w:color="auto" w:sz="4" w:space="0"/>
              <w:left w:val="nil"/>
              <w:bottom w:val="single" w:color="auto" w:sz="4" w:space="0"/>
              <w:right w:val="nil"/>
            </w:tcBorders>
          </w:tcPr>
          <w:p>
            <w:pPr>
              <w:pStyle w:val="7"/>
              <w:spacing w:line="240" w:lineRule="auto"/>
              <w:ind w:left="0" w:firstLine="0"/>
              <w:jc w:val="center"/>
              <w:rPr>
                <w:rFonts w:ascii="Arial" w:hAnsi="Arial" w:cs="Arial"/>
                <w:sz w:val="20"/>
                <w:szCs w:val="20"/>
              </w:rPr>
            </w:pPr>
            <w:r>
              <w:rPr>
                <w:rFonts w:ascii="Arial" w:hAnsi="Arial" w:cs="Arial"/>
                <w:sz w:val="20"/>
                <w:szCs w:val="20"/>
              </w:rPr>
              <w:t>100%</w:t>
            </w:r>
          </w:p>
        </w:tc>
      </w:tr>
    </w:tbl>
    <w:p>
      <w:pPr>
        <w:spacing w:line="240" w:lineRule="auto"/>
        <w:ind w:left="0" w:firstLine="0"/>
        <w:rPr>
          <w:rFonts w:ascii="Arial" w:hAnsi="Arial" w:cs="Arial"/>
          <w:b/>
          <w:sz w:val="20"/>
          <w:szCs w:val="20"/>
        </w:rPr>
      </w:pPr>
      <w:r>
        <w:rPr>
          <w:rFonts w:ascii="Arial" w:hAnsi="Arial" w:cs="Arial"/>
          <w:b/>
          <w:sz w:val="20"/>
          <w:szCs w:val="20"/>
        </w:rPr>
        <w:t>Sumber : Data Primer 2017</w:t>
      </w:r>
    </w:p>
    <w:p>
      <w:pPr>
        <w:spacing w:line="240" w:lineRule="auto"/>
        <w:ind w:left="0" w:firstLine="0"/>
        <w:rPr>
          <w:rFonts w:ascii="Arial" w:hAnsi="Arial" w:cs="Arial"/>
          <w:b/>
          <w:sz w:val="20"/>
          <w:szCs w:val="20"/>
        </w:rPr>
      </w:pPr>
    </w:p>
    <w:p>
      <w:pPr>
        <w:spacing w:line="240" w:lineRule="auto"/>
        <w:ind w:left="0" w:firstLine="0"/>
        <w:rPr>
          <w:rFonts w:ascii="Arial" w:hAnsi="Arial" w:cs="Arial"/>
          <w:sz w:val="20"/>
          <w:szCs w:val="20"/>
        </w:rPr>
      </w:pPr>
      <w:r>
        <w:rPr>
          <w:rFonts w:ascii="Arial" w:hAnsi="Arial" w:cs="Arial"/>
          <w:sz w:val="20"/>
          <w:szCs w:val="20"/>
        </w:rPr>
        <w:t xml:space="preserve">       Menurut tabel di atas, dapat dilihat dari 75 responden yang menilai peran kader kesehatan remaja baik sebesar 52% dan responden yang menilai kurang nya peran kader kesehatan remaja sebesar 48%.</w:t>
      </w:r>
    </w:p>
    <w:p>
      <w:pPr>
        <w:spacing w:line="240" w:lineRule="auto"/>
        <w:ind w:left="0" w:firstLine="0"/>
        <w:rPr>
          <w:rFonts w:ascii="Arial" w:hAnsi="Arial" w:cs="Arial"/>
          <w:b/>
          <w:sz w:val="20"/>
          <w:szCs w:val="20"/>
        </w:rPr>
      </w:pPr>
      <w:r>
        <w:rPr>
          <w:rFonts w:ascii="Arial" w:hAnsi="Arial" w:cs="Arial"/>
          <w:b/>
          <w:sz w:val="20"/>
          <w:szCs w:val="20"/>
        </w:rPr>
        <w:t>Tabel 6 Hubungan Peran Kader Kesehatan Remaja dengan Tingkat Pengetahuan Kesehatan Reproduksi pada Siswa-siswi SMP Al-Azhar Syifa Budi Samarinda Tahun 2017</w:t>
      </w:r>
    </w:p>
    <w:tbl>
      <w:tblPr>
        <w:tblStyle w:val="6"/>
        <w:tblW w:w="4410" w:type="dxa"/>
        <w:tblInd w:w="-16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0"/>
        <w:gridCol w:w="810"/>
        <w:gridCol w:w="900"/>
        <w:gridCol w:w="990"/>
        <w:gridCol w:w="81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68" w:hRule="atLeast"/>
        </w:trPr>
        <w:tc>
          <w:tcPr>
            <w:tcW w:w="900" w:type="dxa"/>
            <w:vMerge w:val="restart"/>
            <w:tcBorders>
              <w:top w:val="single" w:color="auto" w:sz="4" w:space="0"/>
              <w:left w:val="nil"/>
              <w:bottom w:val="nil"/>
              <w:right w:val="nil"/>
            </w:tcBorders>
            <w:vAlign w:val="center"/>
          </w:tcPr>
          <w:p>
            <w:pPr>
              <w:spacing w:line="240" w:lineRule="auto"/>
              <w:ind w:left="0" w:firstLine="0"/>
              <w:jc w:val="center"/>
              <w:rPr>
                <w:rFonts w:ascii="Arial" w:hAnsi="Arial" w:cs="Arial"/>
                <w:b/>
                <w:sz w:val="20"/>
                <w:szCs w:val="20"/>
              </w:rPr>
            </w:pPr>
            <w:r>
              <w:rPr>
                <w:rFonts w:ascii="Arial" w:hAnsi="Arial" w:cs="Arial"/>
                <w:b/>
                <w:sz w:val="20"/>
                <w:szCs w:val="20"/>
              </w:rPr>
              <w:t>Peran kader</w:t>
            </w:r>
          </w:p>
        </w:tc>
        <w:tc>
          <w:tcPr>
            <w:tcW w:w="2700" w:type="dxa"/>
            <w:gridSpan w:val="3"/>
            <w:tcBorders>
              <w:top w:val="single" w:color="auto" w:sz="4" w:space="0"/>
              <w:left w:val="nil"/>
              <w:bottom w:val="nil"/>
              <w:right w:val="nil"/>
            </w:tcBorders>
            <w:vAlign w:val="center"/>
          </w:tcPr>
          <w:p>
            <w:pPr>
              <w:spacing w:line="240" w:lineRule="auto"/>
              <w:ind w:left="0" w:firstLine="0"/>
              <w:jc w:val="center"/>
              <w:rPr>
                <w:rFonts w:ascii="Arial" w:hAnsi="Arial" w:cs="Arial"/>
                <w:b/>
                <w:sz w:val="20"/>
                <w:szCs w:val="20"/>
              </w:rPr>
            </w:pPr>
            <w:r>
              <w:rPr>
                <w:rFonts w:ascii="Arial" w:hAnsi="Arial" w:cs="Arial"/>
                <w:b/>
                <w:sz w:val="20"/>
                <w:szCs w:val="20"/>
              </w:rPr>
              <w:t>Pengetahuan</w:t>
            </w:r>
          </w:p>
        </w:tc>
        <w:tc>
          <w:tcPr>
            <w:tcW w:w="810" w:type="dxa"/>
            <w:vMerge w:val="restart"/>
            <w:tcBorders>
              <w:left w:val="nil"/>
              <w:right w:val="nil"/>
            </w:tcBorders>
            <w:vAlign w:val="center"/>
          </w:tcPr>
          <w:p>
            <w:pPr>
              <w:spacing w:line="240" w:lineRule="auto"/>
              <w:ind w:left="0" w:firstLine="0"/>
              <w:jc w:val="center"/>
              <w:rPr>
                <w:rFonts w:ascii="Arial" w:hAnsi="Arial" w:cs="Arial"/>
                <w:b/>
                <w:sz w:val="20"/>
                <w:szCs w:val="20"/>
              </w:rPr>
            </w:pPr>
            <w:r>
              <w:rPr>
                <w:rFonts w:ascii="Arial" w:hAnsi="Arial" w:cs="Arial"/>
                <w:b/>
                <w:sz w:val="20"/>
                <w:szCs w:val="20"/>
              </w:rPr>
              <w:t>Total</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84" w:hRule="atLeast"/>
        </w:trPr>
        <w:tc>
          <w:tcPr>
            <w:tcW w:w="900" w:type="dxa"/>
            <w:vMerge w:val="continue"/>
            <w:tcBorders>
              <w:top w:val="nil"/>
              <w:left w:val="nil"/>
              <w:bottom w:val="single" w:color="auto" w:sz="4" w:space="0"/>
              <w:right w:val="nil"/>
            </w:tcBorders>
            <w:vAlign w:val="center"/>
          </w:tcPr>
          <w:p>
            <w:pPr>
              <w:spacing w:line="240" w:lineRule="auto"/>
              <w:ind w:left="0" w:firstLine="0"/>
              <w:jc w:val="center"/>
              <w:rPr>
                <w:rFonts w:ascii="Arial" w:hAnsi="Arial" w:cs="Arial"/>
                <w:b/>
                <w:sz w:val="20"/>
                <w:szCs w:val="20"/>
              </w:rPr>
            </w:pPr>
          </w:p>
        </w:tc>
        <w:tc>
          <w:tcPr>
            <w:tcW w:w="810" w:type="dxa"/>
            <w:tcBorders>
              <w:top w:val="nil"/>
              <w:left w:val="nil"/>
              <w:bottom w:val="single" w:color="auto" w:sz="4" w:space="0"/>
              <w:right w:val="nil"/>
            </w:tcBorders>
            <w:vAlign w:val="center"/>
          </w:tcPr>
          <w:p>
            <w:pPr>
              <w:spacing w:line="240" w:lineRule="auto"/>
              <w:ind w:left="0" w:firstLine="0"/>
              <w:jc w:val="center"/>
              <w:rPr>
                <w:rFonts w:ascii="Arial" w:hAnsi="Arial" w:cs="Arial"/>
                <w:b/>
                <w:sz w:val="20"/>
                <w:szCs w:val="20"/>
              </w:rPr>
            </w:pPr>
            <w:r>
              <w:rPr>
                <w:rFonts w:ascii="Arial" w:hAnsi="Arial" w:cs="Arial"/>
                <w:b/>
                <w:sz w:val="20"/>
                <w:szCs w:val="20"/>
              </w:rPr>
              <w:t>Baik</w:t>
            </w:r>
          </w:p>
        </w:tc>
        <w:tc>
          <w:tcPr>
            <w:tcW w:w="900" w:type="dxa"/>
            <w:tcBorders>
              <w:top w:val="nil"/>
              <w:left w:val="nil"/>
              <w:bottom w:val="single" w:color="auto" w:sz="4" w:space="0"/>
              <w:right w:val="nil"/>
            </w:tcBorders>
            <w:vAlign w:val="center"/>
          </w:tcPr>
          <w:p>
            <w:pPr>
              <w:spacing w:line="240" w:lineRule="auto"/>
              <w:ind w:left="0" w:firstLine="0"/>
              <w:jc w:val="center"/>
              <w:rPr>
                <w:rFonts w:ascii="Arial" w:hAnsi="Arial" w:cs="Arial"/>
                <w:b/>
                <w:sz w:val="20"/>
                <w:szCs w:val="20"/>
              </w:rPr>
            </w:pPr>
            <w:r>
              <w:rPr>
                <w:rFonts w:ascii="Arial" w:hAnsi="Arial" w:cs="Arial"/>
                <w:b/>
                <w:sz w:val="20"/>
                <w:szCs w:val="20"/>
              </w:rPr>
              <w:t>Cukup</w:t>
            </w:r>
          </w:p>
        </w:tc>
        <w:tc>
          <w:tcPr>
            <w:tcW w:w="990" w:type="dxa"/>
            <w:tcBorders>
              <w:top w:val="nil"/>
              <w:left w:val="nil"/>
              <w:bottom w:val="single" w:color="auto" w:sz="4" w:space="0"/>
              <w:right w:val="nil"/>
            </w:tcBorders>
            <w:vAlign w:val="center"/>
          </w:tcPr>
          <w:p>
            <w:pPr>
              <w:spacing w:line="240" w:lineRule="auto"/>
              <w:ind w:left="0" w:firstLine="0"/>
              <w:jc w:val="center"/>
              <w:rPr>
                <w:rFonts w:ascii="Arial" w:hAnsi="Arial" w:cs="Arial"/>
                <w:b/>
                <w:sz w:val="20"/>
                <w:szCs w:val="20"/>
              </w:rPr>
            </w:pPr>
            <w:r>
              <w:rPr>
                <w:rFonts w:ascii="Arial" w:hAnsi="Arial" w:cs="Arial"/>
                <w:b/>
                <w:sz w:val="20"/>
                <w:szCs w:val="20"/>
              </w:rPr>
              <w:t>Kurang</w:t>
            </w:r>
          </w:p>
        </w:tc>
        <w:tc>
          <w:tcPr>
            <w:tcW w:w="810" w:type="dxa"/>
            <w:vMerge w:val="continue"/>
            <w:tcBorders>
              <w:left w:val="nil"/>
              <w:bottom w:val="single" w:color="auto" w:sz="4" w:space="0"/>
              <w:right w:val="nil"/>
            </w:tcBorders>
            <w:vAlign w:val="center"/>
          </w:tcPr>
          <w:p>
            <w:pPr>
              <w:spacing w:line="240" w:lineRule="auto"/>
              <w:ind w:left="0" w:firstLine="0"/>
              <w:jc w:val="center"/>
              <w:rPr>
                <w:rFonts w:ascii="Arial" w:hAnsi="Arial" w:cs="Arial"/>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900" w:type="dxa"/>
            <w:tcBorders>
              <w:top w:val="single" w:color="auto" w:sz="4" w:space="0"/>
              <w:left w:val="nil"/>
              <w:bottom w:val="nil"/>
              <w:right w:val="nil"/>
            </w:tcBorders>
            <w:vAlign w:val="center"/>
          </w:tcPr>
          <w:p>
            <w:pPr>
              <w:spacing w:line="276" w:lineRule="auto"/>
              <w:ind w:left="0" w:firstLine="0"/>
              <w:jc w:val="center"/>
              <w:rPr>
                <w:rFonts w:ascii="Arial" w:hAnsi="Arial" w:cs="Arial"/>
                <w:sz w:val="20"/>
                <w:szCs w:val="20"/>
              </w:rPr>
            </w:pPr>
            <w:r>
              <w:rPr>
                <w:rFonts w:ascii="Arial" w:hAnsi="Arial" w:cs="Arial"/>
                <w:sz w:val="20"/>
                <w:szCs w:val="20"/>
              </w:rPr>
              <w:t>Baik</w:t>
            </w:r>
          </w:p>
        </w:tc>
        <w:tc>
          <w:tcPr>
            <w:tcW w:w="810" w:type="dxa"/>
            <w:tcBorders>
              <w:top w:val="single" w:color="auto" w:sz="4" w:space="0"/>
              <w:left w:val="nil"/>
              <w:bottom w:val="nil"/>
              <w:right w:val="nil"/>
            </w:tcBorders>
            <w:vAlign w:val="center"/>
          </w:tcPr>
          <w:p>
            <w:pPr>
              <w:spacing w:line="276" w:lineRule="auto"/>
              <w:ind w:left="0" w:firstLine="0"/>
              <w:jc w:val="center"/>
              <w:rPr>
                <w:rFonts w:ascii="Arial" w:hAnsi="Arial" w:cs="Arial"/>
                <w:sz w:val="20"/>
                <w:szCs w:val="20"/>
              </w:rPr>
            </w:pPr>
            <w:r>
              <w:rPr>
                <w:rFonts w:ascii="Arial" w:hAnsi="Arial" w:cs="Arial"/>
                <w:sz w:val="20"/>
                <w:szCs w:val="20"/>
              </w:rPr>
              <w:t>4</w:t>
            </w:r>
          </w:p>
          <w:p>
            <w:pPr>
              <w:spacing w:line="276" w:lineRule="auto"/>
              <w:ind w:left="0" w:firstLine="0"/>
              <w:jc w:val="center"/>
              <w:rPr>
                <w:rFonts w:ascii="Arial" w:hAnsi="Arial" w:cs="Arial"/>
                <w:sz w:val="20"/>
                <w:szCs w:val="20"/>
              </w:rPr>
            </w:pPr>
            <w:r>
              <w:rPr>
                <w:rFonts w:ascii="Arial" w:hAnsi="Arial" w:cs="Arial"/>
                <w:sz w:val="20"/>
                <w:szCs w:val="20"/>
              </w:rPr>
              <w:t>10.3%</w:t>
            </w:r>
          </w:p>
        </w:tc>
        <w:tc>
          <w:tcPr>
            <w:tcW w:w="900" w:type="dxa"/>
            <w:tcBorders>
              <w:top w:val="single" w:color="auto" w:sz="4" w:space="0"/>
              <w:left w:val="nil"/>
              <w:bottom w:val="nil"/>
              <w:right w:val="nil"/>
            </w:tcBorders>
            <w:vAlign w:val="center"/>
          </w:tcPr>
          <w:p>
            <w:pPr>
              <w:spacing w:line="276" w:lineRule="auto"/>
              <w:ind w:left="0" w:firstLine="0"/>
              <w:jc w:val="center"/>
              <w:rPr>
                <w:rFonts w:ascii="Arial" w:hAnsi="Arial" w:cs="Arial"/>
                <w:sz w:val="20"/>
                <w:szCs w:val="20"/>
              </w:rPr>
            </w:pPr>
            <w:r>
              <w:rPr>
                <w:rFonts w:ascii="Arial" w:hAnsi="Arial" w:cs="Arial"/>
                <w:sz w:val="20"/>
                <w:szCs w:val="20"/>
              </w:rPr>
              <w:t>24</w:t>
            </w:r>
          </w:p>
          <w:p>
            <w:pPr>
              <w:spacing w:line="276" w:lineRule="auto"/>
              <w:ind w:left="0" w:firstLine="0"/>
              <w:jc w:val="center"/>
              <w:rPr>
                <w:rFonts w:ascii="Arial" w:hAnsi="Arial" w:cs="Arial"/>
                <w:sz w:val="20"/>
                <w:szCs w:val="20"/>
              </w:rPr>
            </w:pPr>
            <w:r>
              <w:rPr>
                <w:rFonts w:ascii="Arial" w:hAnsi="Arial" w:cs="Arial"/>
                <w:sz w:val="20"/>
                <w:szCs w:val="20"/>
              </w:rPr>
              <w:t>61.5%</w:t>
            </w:r>
          </w:p>
        </w:tc>
        <w:tc>
          <w:tcPr>
            <w:tcW w:w="990" w:type="dxa"/>
            <w:tcBorders>
              <w:top w:val="single" w:color="auto" w:sz="4" w:space="0"/>
              <w:left w:val="nil"/>
              <w:bottom w:val="nil"/>
              <w:right w:val="nil"/>
            </w:tcBorders>
            <w:vAlign w:val="center"/>
          </w:tcPr>
          <w:p>
            <w:pPr>
              <w:spacing w:line="276" w:lineRule="auto"/>
              <w:ind w:left="0" w:firstLine="0"/>
              <w:jc w:val="center"/>
              <w:rPr>
                <w:rFonts w:ascii="Arial" w:hAnsi="Arial" w:cs="Arial"/>
                <w:sz w:val="20"/>
                <w:szCs w:val="20"/>
              </w:rPr>
            </w:pPr>
            <w:r>
              <w:rPr>
                <w:rFonts w:ascii="Arial" w:hAnsi="Arial" w:cs="Arial"/>
                <w:sz w:val="20"/>
                <w:szCs w:val="20"/>
              </w:rPr>
              <w:t>11</w:t>
            </w:r>
          </w:p>
          <w:p>
            <w:pPr>
              <w:spacing w:line="276" w:lineRule="auto"/>
              <w:ind w:left="0" w:firstLine="0"/>
              <w:jc w:val="center"/>
              <w:rPr>
                <w:rFonts w:ascii="Arial" w:hAnsi="Arial" w:cs="Arial"/>
                <w:sz w:val="20"/>
                <w:szCs w:val="20"/>
              </w:rPr>
            </w:pPr>
            <w:r>
              <w:rPr>
                <w:rFonts w:ascii="Arial" w:hAnsi="Arial" w:cs="Arial"/>
                <w:sz w:val="20"/>
                <w:szCs w:val="20"/>
              </w:rPr>
              <w:t>28.2%</w:t>
            </w:r>
          </w:p>
        </w:tc>
        <w:tc>
          <w:tcPr>
            <w:tcW w:w="810" w:type="dxa"/>
            <w:tcBorders>
              <w:top w:val="single" w:color="auto" w:sz="4" w:space="0"/>
              <w:left w:val="nil"/>
              <w:bottom w:val="nil"/>
              <w:right w:val="nil"/>
            </w:tcBorders>
            <w:vAlign w:val="center"/>
          </w:tcPr>
          <w:p>
            <w:pPr>
              <w:spacing w:line="276" w:lineRule="auto"/>
              <w:ind w:left="0" w:firstLine="0"/>
              <w:jc w:val="center"/>
              <w:rPr>
                <w:rFonts w:ascii="Arial" w:hAnsi="Arial" w:cs="Arial"/>
                <w:sz w:val="20"/>
                <w:szCs w:val="20"/>
              </w:rPr>
            </w:pPr>
            <w:r>
              <w:rPr>
                <w:rFonts w:ascii="Arial" w:hAnsi="Arial" w:cs="Arial"/>
                <w:sz w:val="20"/>
                <w:szCs w:val="20"/>
              </w:rPr>
              <w:t>39</w:t>
            </w:r>
          </w:p>
          <w:p>
            <w:pPr>
              <w:spacing w:line="276" w:lineRule="auto"/>
              <w:ind w:left="0" w:firstLine="0"/>
              <w:jc w:val="center"/>
              <w:rPr>
                <w:rFonts w:ascii="Arial" w:hAnsi="Arial" w:cs="Arial"/>
                <w:sz w:val="20"/>
                <w:szCs w:val="20"/>
              </w:rPr>
            </w:pPr>
            <w:r>
              <w:rPr>
                <w:rFonts w:ascii="Arial" w:hAnsi="Arial" w:cs="Arial"/>
                <w:sz w:val="20"/>
                <w:szCs w:val="20"/>
              </w:rPr>
              <w:t>100%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900" w:type="dxa"/>
            <w:tcBorders>
              <w:top w:val="nil"/>
              <w:left w:val="nil"/>
              <w:bottom w:val="single" w:color="auto" w:sz="4" w:space="0"/>
              <w:right w:val="nil"/>
            </w:tcBorders>
            <w:vAlign w:val="center"/>
          </w:tcPr>
          <w:p>
            <w:pPr>
              <w:spacing w:line="276" w:lineRule="auto"/>
              <w:ind w:left="0" w:firstLine="0"/>
              <w:jc w:val="center"/>
              <w:rPr>
                <w:rFonts w:ascii="Arial" w:hAnsi="Arial" w:cs="Arial"/>
                <w:sz w:val="20"/>
                <w:szCs w:val="20"/>
              </w:rPr>
            </w:pPr>
            <w:r>
              <w:rPr>
                <w:rFonts w:ascii="Arial" w:hAnsi="Arial" w:cs="Arial"/>
                <w:sz w:val="20"/>
                <w:szCs w:val="20"/>
              </w:rPr>
              <w:t>Kurang</w:t>
            </w:r>
          </w:p>
        </w:tc>
        <w:tc>
          <w:tcPr>
            <w:tcW w:w="810" w:type="dxa"/>
            <w:tcBorders>
              <w:top w:val="nil"/>
              <w:left w:val="nil"/>
              <w:bottom w:val="single" w:color="auto" w:sz="4" w:space="0"/>
              <w:right w:val="nil"/>
            </w:tcBorders>
            <w:vAlign w:val="center"/>
          </w:tcPr>
          <w:p>
            <w:pPr>
              <w:spacing w:line="276" w:lineRule="auto"/>
              <w:ind w:left="0" w:firstLine="0"/>
              <w:jc w:val="center"/>
              <w:rPr>
                <w:rFonts w:ascii="Arial" w:hAnsi="Arial" w:cs="Arial"/>
                <w:sz w:val="20"/>
                <w:szCs w:val="20"/>
              </w:rPr>
            </w:pPr>
            <w:r>
              <w:rPr>
                <w:rFonts w:ascii="Arial" w:hAnsi="Arial" w:cs="Arial"/>
                <w:sz w:val="20"/>
                <w:szCs w:val="20"/>
              </w:rPr>
              <w:t>8</w:t>
            </w:r>
          </w:p>
          <w:p>
            <w:pPr>
              <w:spacing w:line="276" w:lineRule="auto"/>
              <w:ind w:left="0" w:firstLine="0"/>
              <w:jc w:val="center"/>
              <w:rPr>
                <w:rFonts w:ascii="Arial" w:hAnsi="Arial" w:cs="Arial"/>
                <w:sz w:val="20"/>
                <w:szCs w:val="20"/>
              </w:rPr>
            </w:pPr>
            <w:r>
              <w:rPr>
                <w:rFonts w:ascii="Arial" w:hAnsi="Arial" w:cs="Arial"/>
                <w:sz w:val="20"/>
                <w:szCs w:val="20"/>
              </w:rPr>
              <w:t>22.2%</w:t>
            </w:r>
          </w:p>
        </w:tc>
        <w:tc>
          <w:tcPr>
            <w:tcW w:w="900" w:type="dxa"/>
            <w:tcBorders>
              <w:top w:val="nil"/>
              <w:left w:val="nil"/>
              <w:bottom w:val="single" w:color="auto" w:sz="4" w:space="0"/>
              <w:right w:val="nil"/>
            </w:tcBorders>
            <w:vAlign w:val="center"/>
          </w:tcPr>
          <w:p>
            <w:pPr>
              <w:spacing w:line="276" w:lineRule="auto"/>
              <w:ind w:left="0" w:firstLine="0"/>
              <w:jc w:val="center"/>
              <w:rPr>
                <w:rFonts w:ascii="Arial" w:hAnsi="Arial" w:cs="Arial"/>
                <w:sz w:val="20"/>
                <w:szCs w:val="20"/>
              </w:rPr>
            </w:pPr>
            <w:r>
              <w:rPr>
                <w:rFonts w:ascii="Arial" w:hAnsi="Arial" w:cs="Arial"/>
                <w:sz w:val="20"/>
                <w:szCs w:val="20"/>
              </w:rPr>
              <w:t>15</w:t>
            </w:r>
          </w:p>
          <w:p>
            <w:pPr>
              <w:spacing w:line="276" w:lineRule="auto"/>
              <w:ind w:left="0" w:firstLine="0"/>
              <w:jc w:val="center"/>
              <w:rPr>
                <w:rFonts w:ascii="Arial" w:hAnsi="Arial" w:cs="Arial"/>
                <w:sz w:val="20"/>
                <w:szCs w:val="20"/>
              </w:rPr>
            </w:pPr>
            <w:r>
              <w:rPr>
                <w:rFonts w:ascii="Arial" w:hAnsi="Arial" w:cs="Arial"/>
                <w:sz w:val="20"/>
                <w:szCs w:val="20"/>
              </w:rPr>
              <w:t>41.7%</w:t>
            </w:r>
          </w:p>
        </w:tc>
        <w:tc>
          <w:tcPr>
            <w:tcW w:w="990" w:type="dxa"/>
            <w:tcBorders>
              <w:top w:val="nil"/>
              <w:left w:val="nil"/>
              <w:bottom w:val="single" w:color="auto" w:sz="4" w:space="0"/>
              <w:right w:val="nil"/>
            </w:tcBorders>
            <w:vAlign w:val="center"/>
          </w:tcPr>
          <w:p>
            <w:pPr>
              <w:spacing w:line="276" w:lineRule="auto"/>
              <w:ind w:left="0" w:firstLine="0"/>
              <w:jc w:val="center"/>
              <w:rPr>
                <w:rFonts w:ascii="Arial" w:hAnsi="Arial" w:cs="Arial"/>
                <w:sz w:val="20"/>
                <w:szCs w:val="20"/>
              </w:rPr>
            </w:pPr>
            <w:r>
              <w:rPr>
                <w:rFonts w:ascii="Arial" w:hAnsi="Arial" w:cs="Arial"/>
                <w:sz w:val="20"/>
                <w:szCs w:val="20"/>
              </w:rPr>
              <w:t>13</w:t>
            </w:r>
          </w:p>
          <w:p>
            <w:pPr>
              <w:spacing w:line="276" w:lineRule="auto"/>
              <w:ind w:left="0" w:firstLine="0"/>
              <w:jc w:val="center"/>
              <w:rPr>
                <w:rFonts w:ascii="Arial" w:hAnsi="Arial" w:cs="Arial"/>
                <w:sz w:val="20"/>
                <w:szCs w:val="20"/>
              </w:rPr>
            </w:pPr>
            <w:r>
              <w:rPr>
                <w:rFonts w:ascii="Arial" w:hAnsi="Arial" w:cs="Arial"/>
                <w:sz w:val="20"/>
                <w:szCs w:val="20"/>
              </w:rPr>
              <w:t>36.1%</w:t>
            </w:r>
          </w:p>
        </w:tc>
        <w:tc>
          <w:tcPr>
            <w:tcW w:w="810" w:type="dxa"/>
            <w:tcBorders>
              <w:top w:val="nil"/>
              <w:left w:val="nil"/>
              <w:bottom w:val="single" w:color="auto" w:sz="4" w:space="0"/>
              <w:right w:val="nil"/>
            </w:tcBorders>
            <w:vAlign w:val="center"/>
          </w:tcPr>
          <w:p>
            <w:pPr>
              <w:spacing w:line="276" w:lineRule="auto"/>
              <w:ind w:left="0" w:firstLine="0"/>
              <w:jc w:val="center"/>
              <w:rPr>
                <w:rFonts w:ascii="Arial" w:hAnsi="Arial" w:cs="Arial"/>
                <w:sz w:val="20"/>
                <w:szCs w:val="20"/>
              </w:rPr>
            </w:pPr>
            <w:r>
              <w:rPr>
                <w:rFonts w:ascii="Arial" w:hAnsi="Arial" w:cs="Arial"/>
                <w:sz w:val="20"/>
                <w:szCs w:val="20"/>
              </w:rPr>
              <w:t>36</w:t>
            </w:r>
          </w:p>
          <w:p>
            <w:pPr>
              <w:spacing w:line="276" w:lineRule="auto"/>
              <w:ind w:left="0" w:firstLine="0"/>
              <w:jc w:val="center"/>
              <w:rPr>
                <w:rFonts w:ascii="Arial" w:hAnsi="Arial" w:cs="Arial"/>
                <w:sz w:val="20"/>
                <w:szCs w:val="20"/>
              </w:rPr>
            </w:pPr>
            <w:r>
              <w:rPr>
                <w:rFonts w:ascii="Arial" w:hAnsi="Arial" w:cs="Arial"/>
                <w:sz w:val="20"/>
                <w:szCs w:val="20"/>
              </w:rPr>
              <w:t>100%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900" w:type="dxa"/>
            <w:tcBorders>
              <w:top w:val="single" w:color="auto" w:sz="4" w:space="0"/>
              <w:left w:val="nil"/>
              <w:bottom w:val="single" w:color="auto" w:sz="4" w:space="0"/>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Total</w:t>
            </w:r>
          </w:p>
        </w:tc>
        <w:tc>
          <w:tcPr>
            <w:tcW w:w="810" w:type="dxa"/>
            <w:tcBorders>
              <w:top w:val="single" w:color="auto" w:sz="4" w:space="0"/>
              <w:left w:val="nil"/>
              <w:bottom w:val="single" w:color="auto" w:sz="4" w:space="0"/>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12</w:t>
            </w:r>
          </w:p>
          <w:p>
            <w:pPr>
              <w:spacing w:line="240" w:lineRule="auto"/>
              <w:ind w:left="0" w:firstLine="0"/>
              <w:jc w:val="center"/>
              <w:rPr>
                <w:rFonts w:ascii="Arial" w:hAnsi="Arial" w:cs="Arial"/>
                <w:sz w:val="20"/>
                <w:szCs w:val="20"/>
              </w:rPr>
            </w:pPr>
            <w:r>
              <w:rPr>
                <w:rFonts w:ascii="Arial" w:hAnsi="Arial" w:cs="Arial"/>
                <w:sz w:val="20"/>
                <w:szCs w:val="20"/>
              </w:rPr>
              <w:t>16%</w:t>
            </w:r>
          </w:p>
        </w:tc>
        <w:tc>
          <w:tcPr>
            <w:tcW w:w="900" w:type="dxa"/>
            <w:tcBorders>
              <w:top w:val="single" w:color="auto" w:sz="4" w:space="0"/>
              <w:left w:val="nil"/>
              <w:bottom w:val="single" w:color="auto" w:sz="4" w:space="0"/>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39</w:t>
            </w:r>
          </w:p>
          <w:p>
            <w:pPr>
              <w:spacing w:line="240" w:lineRule="auto"/>
              <w:ind w:left="0" w:firstLine="0"/>
              <w:jc w:val="center"/>
              <w:rPr>
                <w:rFonts w:ascii="Arial" w:hAnsi="Arial" w:cs="Arial"/>
                <w:sz w:val="20"/>
                <w:szCs w:val="20"/>
              </w:rPr>
            </w:pPr>
            <w:r>
              <w:rPr>
                <w:rFonts w:ascii="Arial" w:hAnsi="Arial" w:cs="Arial"/>
                <w:sz w:val="20"/>
                <w:szCs w:val="20"/>
              </w:rPr>
              <w:t>52%</w:t>
            </w:r>
          </w:p>
        </w:tc>
        <w:tc>
          <w:tcPr>
            <w:tcW w:w="990" w:type="dxa"/>
            <w:tcBorders>
              <w:top w:val="single" w:color="auto" w:sz="4" w:space="0"/>
              <w:left w:val="nil"/>
              <w:bottom w:val="single" w:color="auto" w:sz="4" w:space="0"/>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24</w:t>
            </w:r>
          </w:p>
          <w:p>
            <w:pPr>
              <w:spacing w:line="240" w:lineRule="auto"/>
              <w:ind w:left="0" w:firstLine="0"/>
              <w:jc w:val="center"/>
              <w:rPr>
                <w:rFonts w:ascii="Arial" w:hAnsi="Arial" w:cs="Arial"/>
                <w:sz w:val="20"/>
                <w:szCs w:val="20"/>
              </w:rPr>
            </w:pPr>
            <w:r>
              <w:rPr>
                <w:rFonts w:ascii="Arial" w:hAnsi="Arial" w:cs="Arial"/>
                <w:sz w:val="20"/>
                <w:szCs w:val="20"/>
              </w:rPr>
              <w:t>32%</w:t>
            </w:r>
          </w:p>
        </w:tc>
        <w:tc>
          <w:tcPr>
            <w:tcW w:w="810" w:type="dxa"/>
            <w:tcBorders>
              <w:top w:val="single" w:color="auto" w:sz="4" w:space="0"/>
              <w:left w:val="nil"/>
              <w:bottom w:val="single" w:color="auto" w:sz="4" w:space="0"/>
              <w:right w:val="nil"/>
            </w:tcBorders>
            <w:vAlign w:val="center"/>
          </w:tcPr>
          <w:p>
            <w:pPr>
              <w:spacing w:line="240" w:lineRule="auto"/>
              <w:ind w:left="0" w:firstLine="0"/>
              <w:jc w:val="center"/>
              <w:rPr>
                <w:rFonts w:ascii="Arial" w:hAnsi="Arial" w:cs="Arial"/>
                <w:sz w:val="20"/>
                <w:szCs w:val="20"/>
              </w:rPr>
            </w:pPr>
            <w:r>
              <w:rPr>
                <w:rFonts w:ascii="Arial" w:hAnsi="Arial" w:cs="Arial"/>
                <w:sz w:val="20"/>
                <w:szCs w:val="20"/>
              </w:rPr>
              <w:t>75</w:t>
            </w:r>
          </w:p>
          <w:p>
            <w:pPr>
              <w:spacing w:line="240" w:lineRule="auto"/>
              <w:ind w:left="0" w:firstLine="0"/>
              <w:jc w:val="center"/>
              <w:rPr>
                <w:rFonts w:ascii="Arial" w:hAnsi="Arial" w:cs="Arial"/>
                <w:sz w:val="20"/>
                <w:szCs w:val="20"/>
              </w:rPr>
            </w:pPr>
            <w:r>
              <w:rPr>
                <w:rFonts w:ascii="Arial" w:hAnsi="Arial" w:cs="Arial"/>
                <w:sz w:val="20"/>
                <w:szCs w:val="20"/>
              </w:rPr>
              <w:t>100%</w:t>
            </w:r>
          </w:p>
        </w:tc>
      </w:tr>
    </w:tbl>
    <w:p>
      <w:pPr>
        <w:spacing w:line="240" w:lineRule="auto"/>
        <w:ind w:left="0" w:firstLine="0"/>
        <w:rPr>
          <w:rFonts w:ascii="Arial" w:hAnsi="Arial" w:cs="Arial"/>
          <w:b/>
          <w:sz w:val="20"/>
          <w:szCs w:val="20"/>
        </w:rPr>
      </w:pPr>
      <w:r>
        <w:rPr>
          <w:rFonts w:ascii="Arial" w:hAnsi="Arial" w:cs="Arial"/>
          <w:b/>
          <w:sz w:val="20"/>
          <w:szCs w:val="20"/>
        </w:rPr>
        <w:t>Sumber : Data Primer 2017</w:t>
      </w:r>
    </w:p>
    <w:p>
      <w:pPr>
        <w:spacing w:line="240" w:lineRule="auto"/>
        <w:ind w:left="0" w:firstLine="0"/>
        <w:rPr>
          <w:rFonts w:ascii="Arial" w:hAnsi="Arial" w:cs="Arial"/>
          <w:sz w:val="20"/>
          <w:szCs w:val="20"/>
        </w:rPr>
      </w:pPr>
      <w:r>
        <w:rPr>
          <w:rFonts w:ascii="Arial" w:hAnsi="Arial" w:cs="Arial"/>
          <w:sz w:val="20"/>
          <w:szCs w:val="20"/>
        </w:rPr>
        <w:t xml:space="preserve">       </w:t>
      </w:r>
    </w:p>
    <w:p>
      <w:pPr>
        <w:spacing w:line="240" w:lineRule="auto"/>
        <w:ind w:left="0" w:firstLine="0"/>
        <w:rPr>
          <w:rFonts w:ascii="Arial" w:hAnsi="Arial" w:cs="Arial"/>
          <w:sz w:val="20"/>
          <w:szCs w:val="20"/>
        </w:rPr>
      </w:pPr>
      <w:r>
        <w:rPr>
          <w:rFonts w:ascii="Arial" w:hAnsi="Arial" w:cs="Arial"/>
          <w:sz w:val="20"/>
          <w:szCs w:val="20"/>
        </w:rPr>
        <w:t xml:space="preserve">       Berdasarkan tabel 4.6 diatas menjelaskan bahwa peran kader remaja dengan pengetahuan kesehatan reproduksi bagi responden yang kurang 8 siswa (22.2%) dengan pengetahuan yang baik, 15 siswa (41,7%) dengan pengetahuan yang cukup dan 13 siswa (36.1%) dengan pengetahuan yang kurang. Sedangkan responden yang peran kader baik 4 siswa (10.3%) dengan pengetahuan yang baik, dan 24 siswa (61.5%) dengan pengetahuan yang cukup, dan diikuti dengan 11 siswa (28.2%) dengan</w:t>
      </w:r>
      <w:r>
        <w:rPr>
          <w:rFonts w:ascii="Arial" w:hAnsi="Arial" w:cs="Arial"/>
          <w:sz w:val="24"/>
          <w:szCs w:val="24"/>
        </w:rPr>
        <w:t xml:space="preserve"> </w:t>
      </w:r>
      <w:r>
        <w:rPr>
          <w:rFonts w:ascii="Arial" w:hAnsi="Arial" w:cs="Arial"/>
          <w:sz w:val="20"/>
          <w:szCs w:val="20"/>
        </w:rPr>
        <w:t>pengetahuan yang kurang.</w:t>
      </w:r>
    </w:p>
    <w:p>
      <w:pPr>
        <w:spacing w:line="240" w:lineRule="auto"/>
        <w:ind w:left="0" w:firstLine="0"/>
        <w:rPr>
          <w:rFonts w:ascii="Arial" w:hAnsi="Arial" w:cs="Arial"/>
          <w:sz w:val="20"/>
          <w:szCs w:val="20"/>
        </w:rPr>
      </w:pPr>
    </w:p>
    <w:p>
      <w:pPr>
        <w:spacing w:line="240" w:lineRule="auto"/>
        <w:ind w:left="0" w:firstLine="0"/>
        <w:rPr>
          <w:rFonts w:ascii="Arial" w:hAnsi="Arial" w:cs="Arial"/>
          <w:sz w:val="20"/>
          <w:szCs w:val="20"/>
        </w:rPr>
      </w:pPr>
    </w:p>
    <w:p>
      <w:pPr>
        <w:spacing w:line="240" w:lineRule="auto"/>
        <w:ind w:left="0" w:firstLine="0"/>
        <w:rPr>
          <w:rFonts w:ascii="Arial" w:hAnsi="Arial" w:cs="Arial"/>
          <w:sz w:val="20"/>
          <w:szCs w:val="20"/>
        </w:rPr>
      </w:pPr>
    </w:p>
    <w:p>
      <w:pPr>
        <w:spacing w:line="240" w:lineRule="auto"/>
        <w:ind w:left="0" w:firstLine="0"/>
        <w:rPr>
          <w:rFonts w:ascii="Arial" w:hAnsi="Arial" w:cs="Arial"/>
          <w:b/>
          <w:sz w:val="20"/>
          <w:szCs w:val="20"/>
        </w:rPr>
      </w:pPr>
    </w:p>
    <w:p>
      <w:pPr>
        <w:spacing w:line="240" w:lineRule="auto"/>
        <w:ind w:left="0" w:firstLine="0"/>
        <w:rPr>
          <w:rFonts w:ascii="Arial" w:hAnsi="Arial" w:cs="Arial"/>
          <w:b/>
          <w:sz w:val="20"/>
          <w:szCs w:val="20"/>
        </w:rPr>
      </w:pPr>
      <w:r>
        <w:rPr>
          <w:rFonts w:ascii="Arial" w:hAnsi="Arial" w:cs="Arial"/>
          <w:b/>
          <w:sz w:val="20"/>
          <w:szCs w:val="20"/>
        </w:rPr>
        <w:t>Tabel 7 Hasil Uji Chi Square Hubungan Peran Kader Kesehatan Remaja dengan Tingkat Pengetahuan Kesehatan Reproduksi pada Siswa-siswi SMP Al-Azhar Syifa Budi Samarinda Tahun 2017</w:t>
      </w:r>
    </w:p>
    <w:tbl>
      <w:tblPr>
        <w:tblStyle w:val="6"/>
        <w:tblW w:w="4109" w:type="dxa"/>
        <w:tblInd w:w="0" w:type="dxa"/>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109"/>
      </w:tblGrid>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4109" w:type="dxa"/>
          </w:tcPr>
          <w:p>
            <w:pPr>
              <w:spacing w:line="240" w:lineRule="auto"/>
              <w:ind w:left="0" w:firstLine="0"/>
              <w:jc w:val="center"/>
              <w:rPr>
                <w:rFonts w:ascii="Arial" w:hAnsi="Arial" w:cs="Arial"/>
                <w:b/>
                <w:sz w:val="20"/>
                <w:szCs w:val="20"/>
              </w:rPr>
            </w:pPr>
            <w:r>
              <w:rPr>
                <w:rFonts w:ascii="Arial" w:hAnsi="Arial" w:cs="Arial"/>
                <w:b/>
                <w:sz w:val="20"/>
                <w:szCs w:val="20"/>
              </w:rPr>
              <w:t>Asymp. Sig. (2-sided)</w:t>
            </w:r>
          </w:p>
        </w:tc>
      </w:tr>
      <w:tr>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4109" w:type="dxa"/>
          </w:tcPr>
          <w:p>
            <w:pPr>
              <w:spacing w:line="240" w:lineRule="auto"/>
              <w:ind w:left="0" w:firstLine="0"/>
              <w:jc w:val="right"/>
              <w:rPr>
                <w:rFonts w:ascii="Arial" w:hAnsi="Arial" w:cs="Arial"/>
                <w:sz w:val="20"/>
                <w:szCs w:val="20"/>
              </w:rPr>
            </w:pPr>
            <w:r>
              <w:rPr>
                <w:rFonts w:ascii="Arial" w:hAnsi="Arial" w:cs="Arial"/>
                <w:sz w:val="20"/>
                <w:szCs w:val="20"/>
              </w:rPr>
              <w:t>.177</w:t>
            </w:r>
          </w:p>
        </w:tc>
      </w:tr>
    </w:tbl>
    <w:p>
      <w:pPr>
        <w:spacing w:line="240" w:lineRule="auto"/>
        <w:ind w:left="0" w:firstLine="0"/>
        <w:rPr>
          <w:rFonts w:ascii="Arial" w:hAnsi="Arial" w:cs="Arial"/>
          <w:b/>
          <w:sz w:val="20"/>
          <w:szCs w:val="20"/>
        </w:rPr>
      </w:pPr>
      <w:r>
        <w:rPr>
          <w:rFonts w:ascii="Arial" w:hAnsi="Arial" w:cs="Arial"/>
          <w:b/>
          <w:sz w:val="20"/>
          <w:szCs w:val="20"/>
        </w:rPr>
        <w:t>Sumber : Data Primer 2017</w:t>
      </w:r>
    </w:p>
    <w:p>
      <w:pPr>
        <w:spacing w:line="240" w:lineRule="auto"/>
        <w:ind w:left="0" w:firstLine="0"/>
        <w:rPr>
          <w:rFonts w:ascii="Arial" w:hAnsi="Arial" w:cs="Arial"/>
          <w:b/>
          <w:sz w:val="20"/>
          <w:szCs w:val="20"/>
        </w:rPr>
      </w:pPr>
    </w:p>
    <w:p>
      <w:pPr>
        <w:spacing w:line="240" w:lineRule="auto"/>
        <w:ind w:left="0" w:firstLine="0"/>
        <w:rPr>
          <w:rFonts w:ascii="Arial" w:hAnsi="Arial" w:cs="Arial"/>
          <w:sz w:val="20"/>
          <w:szCs w:val="20"/>
        </w:rPr>
      </w:pPr>
      <w:r>
        <w:rPr>
          <w:rFonts w:ascii="Arial" w:hAnsi="Arial" w:cs="Arial"/>
          <w:sz w:val="20"/>
          <w:szCs w:val="20"/>
        </w:rPr>
        <w:t xml:space="preserve">       Berdasarkan hasil uji statistik yang diperoleh dengan menggunakan </w:t>
      </w:r>
      <w:r>
        <w:rPr>
          <w:rFonts w:ascii="Arial" w:hAnsi="Arial" w:cs="Arial"/>
          <w:i/>
          <w:sz w:val="20"/>
          <w:szCs w:val="20"/>
        </w:rPr>
        <w:t xml:space="preserve">Chi Square </w:t>
      </w:r>
      <w:r>
        <w:rPr>
          <w:rFonts w:ascii="Arial" w:hAnsi="Arial" w:cs="Arial"/>
          <w:sz w:val="20"/>
          <w:szCs w:val="20"/>
        </w:rPr>
        <w:t xml:space="preserve">nilai </w:t>
      </w:r>
      <w:r>
        <w:rPr>
          <w:rFonts w:ascii="Arial" w:hAnsi="Arial" w:cs="Arial"/>
          <w:i/>
          <w:sz w:val="20"/>
          <w:szCs w:val="20"/>
        </w:rPr>
        <w:t>P-Value</w:t>
      </w:r>
      <w:r>
        <w:rPr>
          <w:rFonts w:ascii="Arial" w:hAnsi="Arial" w:cs="Arial"/>
          <w:sz w:val="20"/>
          <w:szCs w:val="20"/>
        </w:rPr>
        <w:t xml:space="preserve"> = 0,177 (lebih besar dari = 0,05). Ha = ditolak dan Ho = Diterima, maka dapat disimpulkan bahwa tidak ada hubungan peran kader kesehatan remaja dengan tingkat pengetahuan pada siswa-siswi di SMP Al-Azhar Syifa Budi Samarinda tahun 2017.</w:t>
      </w:r>
    </w:p>
    <w:p>
      <w:pPr>
        <w:spacing w:line="240" w:lineRule="auto"/>
        <w:ind w:left="0" w:firstLine="0"/>
        <w:rPr>
          <w:rFonts w:ascii="Arial" w:hAnsi="Arial" w:cs="Arial"/>
          <w:sz w:val="20"/>
          <w:szCs w:val="20"/>
        </w:rPr>
      </w:pPr>
    </w:p>
    <w:p>
      <w:pPr>
        <w:spacing w:line="240" w:lineRule="auto"/>
        <w:ind w:left="0" w:firstLine="0"/>
        <w:rPr>
          <w:rFonts w:ascii="Arial" w:hAnsi="Arial" w:cs="Arial"/>
          <w:sz w:val="20"/>
          <w:szCs w:val="20"/>
        </w:rPr>
      </w:pPr>
      <w:r>
        <w:rPr>
          <w:rFonts w:ascii="Arial" w:hAnsi="Arial" w:cs="Arial"/>
          <w:b/>
          <w:sz w:val="20"/>
          <w:szCs w:val="20"/>
        </w:rPr>
        <w:t>PEMBAHASAN</w:t>
      </w:r>
    </w:p>
    <w:p>
      <w:pPr>
        <w:pStyle w:val="7"/>
        <w:numPr>
          <w:ilvl w:val="0"/>
          <w:numId w:val="3"/>
        </w:numPr>
        <w:spacing w:line="240" w:lineRule="auto"/>
        <w:ind w:left="360"/>
        <w:rPr>
          <w:rFonts w:ascii="Arial" w:hAnsi="Arial" w:cs="Arial"/>
          <w:sz w:val="20"/>
          <w:szCs w:val="20"/>
        </w:rPr>
      </w:pPr>
      <w:r>
        <w:rPr>
          <w:rFonts w:ascii="Arial" w:hAnsi="Arial" w:cs="Arial"/>
          <w:sz w:val="20"/>
          <w:szCs w:val="20"/>
        </w:rPr>
        <w:t>Pengetahuan Kesehatan Reproduksi</w:t>
      </w:r>
    </w:p>
    <w:p>
      <w:pPr>
        <w:spacing w:line="240" w:lineRule="auto"/>
        <w:ind w:left="0" w:firstLine="0"/>
        <w:rPr>
          <w:rFonts w:ascii="Arial" w:hAnsi="Arial" w:cs="Arial"/>
          <w:sz w:val="20"/>
          <w:szCs w:val="20"/>
        </w:rPr>
      </w:pPr>
      <w:r>
        <w:rPr>
          <w:rFonts w:ascii="Arial" w:hAnsi="Arial" w:cs="Arial"/>
          <w:sz w:val="20"/>
          <w:szCs w:val="20"/>
        </w:rPr>
        <w:t xml:space="preserve">       Variabel dependen dalam penelitian ini adalah pengetahuan kesehatan reproduksi. Menurut Notoatmodjo (2003), Pengetahuan adalah merupakan hasil dari tahu, yang terjadi setelah orang melakukan penginderaan terhadap objek tertentu. Penginderaan terjadi melalui pancaindra manusia, yakni indra penglihatan, pendengaran, penciuman, rasa dan raba. Sebagian besar pengetahuan diperoleh dari mata dan telinga, pengetahuan merupakan pedoman dalam membentuk tindakan seseorang</w:t>
      </w:r>
    </w:p>
    <w:p>
      <w:pPr>
        <w:spacing w:line="240" w:lineRule="auto"/>
        <w:ind w:left="0" w:firstLine="0"/>
        <w:rPr>
          <w:rFonts w:ascii="Arial" w:hAnsi="Arial" w:cs="Arial"/>
          <w:sz w:val="20"/>
          <w:szCs w:val="20"/>
        </w:rPr>
      </w:pPr>
      <w:r>
        <w:rPr>
          <w:rFonts w:ascii="Arial" w:hAnsi="Arial" w:cs="Arial"/>
          <w:sz w:val="20"/>
          <w:szCs w:val="20"/>
        </w:rPr>
        <w:t xml:space="preserve">       Berdasarkan hasil penelitian yang dilakukan di SMP Al-Azhar Syifa Budi Samarinda tahun 2017 diperoleh bahwa dari 75 responden, sebesar 12 responden (16%) memiliki pengetahuan yang baik, 39 responden (52%) memiliki pengetahuan yang cukup dan 24 responden (32%) memiliki pengetahuan yang kurang.</w:t>
      </w:r>
    </w:p>
    <w:p>
      <w:pPr>
        <w:spacing w:line="240" w:lineRule="auto"/>
        <w:ind w:left="0" w:firstLine="0"/>
        <w:rPr>
          <w:rFonts w:ascii="Arial" w:hAnsi="Arial" w:cs="Arial"/>
          <w:sz w:val="20"/>
          <w:szCs w:val="20"/>
        </w:rPr>
      </w:pPr>
      <w:r>
        <w:rPr>
          <w:rFonts w:ascii="Arial" w:hAnsi="Arial" w:cs="Arial"/>
          <w:sz w:val="24"/>
          <w:szCs w:val="24"/>
        </w:rPr>
        <w:t xml:space="preserve">       </w:t>
      </w:r>
      <w:r>
        <w:rPr>
          <w:rFonts w:ascii="Arial" w:hAnsi="Arial" w:cs="Arial"/>
          <w:sz w:val="20"/>
          <w:szCs w:val="20"/>
        </w:rPr>
        <w:t>Pengetahuan responden yang baik dikarenakan responden mengetahui arti tentang masalah kesehatan reproduksi, sedangkan responden yang berpengetahuan cukup maupun kurang di pengaruhi beberapa faktor dari individu sendiri yang tidak ingin mencari tahu informasi atau belum mendapatkan informasi tentang kesehatan reproduksi tersebut.</w:t>
      </w:r>
    </w:p>
    <w:p>
      <w:pPr>
        <w:spacing w:line="240" w:lineRule="auto"/>
        <w:ind w:left="0" w:firstLine="0"/>
        <w:rPr>
          <w:rFonts w:ascii="Arial" w:hAnsi="Arial" w:cs="Arial"/>
          <w:sz w:val="20"/>
          <w:szCs w:val="20"/>
        </w:rPr>
      </w:pPr>
      <w:r>
        <w:rPr>
          <w:rFonts w:ascii="Arial" w:hAnsi="Arial" w:cs="Arial"/>
          <w:sz w:val="20"/>
          <w:szCs w:val="20"/>
        </w:rPr>
        <w:t xml:space="preserve">       Hasil diatas menunjukkan bahwa tingginya angka pengetahuan siswa-siswi mengenai kesehatan reproduksi, yang dimana anak remaja di zaman sekarang jika pengetahuan nya kurang menjadikan mereka berada ketidak tahuan akan perkembangan dirinya. Sehingga dengan keterbatasan pengetahuan itulah, kadang membuat remaja mengambil sikap yang salah. Selain itu, adanya kader kesehatan remaja di sekolah dapat membantu remaja mendapatkan informasi yang baik tentang kesehatan reproduksi.</w:t>
      </w:r>
    </w:p>
    <w:p>
      <w:pPr>
        <w:pStyle w:val="7"/>
        <w:numPr>
          <w:ilvl w:val="0"/>
          <w:numId w:val="3"/>
        </w:numPr>
        <w:spacing w:line="240" w:lineRule="auto"/>
        <w:ind w:left="360"/>
        <w:rPr>
          <w:rFonts w:ascii="Arial" w:hAnsi="Arial" w:cs="Arial"/>
          <w:sz w:val="20"/>
          <w:szCs w:val="20"/>
        </w:rPr>
      </w:pPr>
      <w:r>
        <w:rPr>
          <w:rFonts w:ascii="Arial" w:hAnsi="Arial" w:cs="Arial"/>
          <w:sz w:val="20"/>
          <w:szCs w:val="20"/>
        </w:rPr>
        <w:t>Peran Kader Kesehatan Remaja</w:t>
      </w:r>
    </w:p>
    <w:p>
      <w:pPr>
        <w:spacing w:line="240" w:lineRule="auto"/>
        <w:ind w:left="0" w:firstLine="0"/>
        <w:rPr>
          <w:rFonts w:ascii="Arial" w:hAnsi="Arial" w:cs="Arial"/>
          <w:sz w:val="20"/>
          <w:szCs w:val="20"/>
        </w:rPr>
      </w:pPr>
      <w:r>
        <w:rPr>
          <w:rFonts w:ascii="Arial" w:hAnsi="Arial" w:cs="Arial"/>
          <w:sz w:val="20"/>
          <w:szCs w:val="20"/>
        </w:rPr>
        <w:t xml:space="preserve">       Variabel independen dalam penelitian ini adalah peran kader kesehatan remaja. Kader Kesehatan Remaja atau Kader Unit Kesehatan Sekolah (UKS) pada jenjang SLTP dan SLTA adalah siswa yang memenuhi kriteria dan telah terlatih untuk ikut melaksanakan sebagian usaha pemeliharaan dan peningkatan kesehatan terhadap diri sendiri, teman, keluarga dan lingkungannya.</w:t>
      </w:r>
    </w:p>
    <w:p>
      <w:pPr>
        <w:spacing w:line="240" w:lineRule="auto"/>
        <w:ind w:left="0" w:firstLine="0"/>
        <w:rPr>
          <w:rFonts w:ascii="Arial" w:hAnsi="Arial" w:cs="Arial"/>
          <w:sz w:val="20"/>
          <w:szCs w:val="20"/>
        </w:rPr>
      </w:pPr>
      <w:r>
        <w:rPr>
          <w:rFonts w:ascii="Arial" w:hAnsi="Arial" w:cs="Arial"/>
          <w:sz w:val="20"/>
          <w:szCs w:val="20"/>
        </w:rPr>
        <w:t xml:space="preserve">       PIK Remaja adalah salah satu wadah yang dikembangkan dalam program GenRE (Generasi Berencana), yang dikelola dari, oleh dan untuk remaja itu sendiri guna memberikan pelayanan informasi dan konseling tentang pendewasaan usia perkawinan, delapan fungsi keluarga, TRIAD KRR (Seksualitas, HIV/Aids, dan NAPZA), keterampilan hidup, gender dan keterampilan advokasi dan KIE (BKKBN, 2012). Dengan adanya PIK-R di sekolah dapat membuat sekolah menjadi tempat siswa mendapat informasi/pengetahuan mengenai TRIAD KRR terutama seksualitas yang baik dan benar.</w:t>
      </w:r>
    </w:p>
    <w:p>
      <w:pPr>
        <w:spacing w:line="240" w:lineRule="auto"/>
        <w:ind w:left="0" w:firstLine="0"/>
        <w:rPr>
          <w:rFonts w:ascii="Arial" w:hAnsi="Arial" w:cs="Arial"/>
          <w:sz w:val="20"/>
          <w:szCs w:val="20"/>
        </w:rPr>
      </w:pPr>
      <w:r>
        <w:rPr>
          <w:rFonts w:ascii="Arial" w:hAnsi="Arial" w:cs="Arial"/>
          <w:sz w:val="20"/>
          <w:szCs w:val="20"/>
        </w:rPr>
        <w:t xml:space="preserve">       Berdasarkan hasil penelitian yang dilakukan di SMP Al-Azhar Syifa Budi Samarinda tahun 2017 diperoleh bahwa dari 75 responden, sebesar 52.0% (39 responden) menilai peran kader kesehatan remaja baik sedangkan 48.0% (36 responden) menilai kurangnya peran kader remaja. Jadi kesimpulan yang di dapatkan bahwa pengaruh peran kader terhadap pengetahuan tentang kesehatan reproduksi ada pengaruhnya, bahkan responden menganggap bahwa kader kesehatan remaja dapat berpengaruh positif maupun negative.</w:t>
      </w:r>
    </w:p>
    <w:p>
      <w:pPr>
        <w:spacing w:line="240" w:lineRule="auto"/>
        <w:ind w:left="0" w:firstLine="0"/>
        <w:rPr>
          <w:rFonts w:ascii="Arial" w:hAnsi="Arial" w:cs="Arial"/>
          <w:sz w:val="20"/>
          <w:szCs w:val="20"/>
        </w:rPr>
      </w:pPr>
      <w:r>
        <w:rPr>
          <w:rFonts w:ascii="Arial" w:hAnsi="Arial" w:cs="Arial"/>
          <w:sz w:val="24"/>
          <w:szCs w:val="24"/>
        </w:rPr>
        <w:t xml:space="preserve">       </w:t>
      </w:r>
      <w:r>
        <w:rPr>
          <w:rFonts w:ascii="Arial" w:hAnsi="Arial" w:cs="Arial"/>
          <w:sz w:val="20"/>
          <w:szCs w:val="20"/>
        </w:rPr>
        <w:t>Usia remaja di SMP Al-Azhar Syifa Budi Samarinda berkisar 12-15 tahun, sehingga pada umur ini remaja sangat rentan akan pergaulan bebas dan lebih mudah untuk menerima informasi dari luar khususnya tentang perilaku seks. Remaja dapat berperilaku seks pranikah dapat termotivasi oleh pengaruh kelompok (teman sebaya). Selain itu, didorong oleh rasa ingin tahu yang besar untuk mencoba segala hal yang belum diketahui. Dengan demikian remaja mempunyai kecenderungan untuk mengadposi informasi yang diterima oleh teman-temannya, tanpa memiliki dasar informasi yang</w:t>
      </w:r>
      <w:r>
        <w:rPr>
          <w:rFonts w:ascii="Arial" w:hAnsi="Arial" w:cs="Arial"/>
          <w:sz w:val="24"/>
          <w:szCs w:val="24"/>
        </w:rPr>
        <w:t xml:space="preserve"> </w:t>
      </w:r>
      <w:r>
        <w:rPr>
          <w:rFonts w:ascii="Arial" w:hAnsi="Arial" w:cs="Arial"/>
          <w:sz w:val="20"/>
          <w:szCs w:val="20"/>
        </w:rPr>
        <w:t>signifikan dari sumber yang lebih dapat dipercaya</w:t>
      </w:r>
      <w:r>
        <w:rPr>
          <w:rFonts w:ascii="Arial" w:hAnsi="Arial" w:cs="Arial"/>
          <w:sz w:val="24"/>
          <w:szCs w:val="24"/>
        </w:rPr>
        <w:t>.</w:t>
      </w:r>
    </w:p>
    <w:p>
      <w:pPr>
        <w:pStyle w:val="7"/>
        <w:numPr>
          <w:ilvl w:val="0"/>
          <w:numId w:val="3"/>
        </w:numPr>
        <w:spacing w:line="240" w:lineRule="auto"/>
        <w:ind w:left="0" w:firstLine="0"/>
        <w:rPr>
          <w:rFonts w:ascii="Arial" w:hAnsi="Arial" w:cs="Arial"/>
          <w:sz w:val="20"/>
          <w:szCs w:val="20"/>
        </w:rPr>
      </w:pPr>
      <w:r>
        <w:rPr>
          <w:rFonts w:ascii="Arial" w:hAnsi="Arial" w:cs="Arial"/>
          <w:sz w:val="20"/>
          <w:szCs w:val="20"/>
        </w:rPr>
        <w:t>Hubungan Peran Kader Kesehatan Remaja dengan Tingkat Pengetahuan Kesehatan Reproduksi</w:t>
      </w:r>
    </w:p>
    <w:p>
      <w:pPr>
        <w:spacing w:line="240" w:lineRule="auto"/>
        <w:ind w:left="0" w:firstLine="0"/>
        <w:rPr>
          <w:rFonts w:ascii="Arial" w:hAnsi="Arial" w:cs="Arial"/>
          <w:sz w:val="20"/>
          <w:szCs w:val="20"/>
        </w:rPr>
      </w:pPr>
      <w:r>
        <w:rPr>
          <w:rFonts w:ascii="Arial" w:hAnsi="Arial" w:cs="Arial"/>
          <w:sz w:val="20"/>
          <w:szCs w:val="20"/>
        </w:rPr>
        <w:t xml:space="preserve">       Berdasarkan hasil yang menunjukkan bahwa peran kader kesehatan remaja dengan pengetahuan kesehatan reproduksi bagi responden yang kurang 8 responden (22.2%) dengan pengetahuan yang baik, 15 siswa (41,7%) dengan pengetahuan yang cukup dan 13 siswa (36.1%) dengan pengetahuan yang kurang. Sedangkan responden yang menilai peran kader baik sebanyak 4 siswa (10.3%) dengan pengetahuan yang baik, dan 24 siswa (61.5%) dengan pengetahuan yang cukup, dan diikuti dengan 11 siswa (28.2%) dengan pengetahuan yang kurang.</w:t>
      </w:r>
    </w:p>
    <w:p>
      <w:pPr>
        <w:spacing w:line="240" w:lineRule="auto"/>
        <w:ind w:left="0" w:firstLine="0"/>
        <w:rPr>
          <w:rFonts w:ascii="Arial" w:hAnsi="Arial" w:cs="Arial"/>
          <w:sz w:val="20"/>
          <w:szCs w:val="20"/>
        </w:rPr>
      </w:pPr>
      <w:r>
        <w:rPr>
          <w:rFonts w:ascii="Arial" w:hAnsi="Arial" w:cs="Arial"/>
          <w:sz w:val="20"/>
          <w:szCs w:val="20"/>
        </w:rPr>
        <w:t xml:space="preserve">       Berdasarkan hasil uji statistik yang diperoleh dengan menggunakan uji </w:t>
      </w:r>
      <w:r>
        <w:rPr>
          <w:rFonts w:ascii="Arial" w:hAnsi="Arial" w:cs="Arial"/>
          <w:i/>
          <w:sz w:val="20"/>
          <w:szCs w:val="20"/>
        </w:rPr>
        <w:t>Chi Square</w:t>
      </w:r>
      <w:r>
        <w:rPr>
          <w:rFonts w:ascii="Arial" w:hAnsi="Arial" w:cs="Arial"/>
          <w:sz w:val="20"/>
          <w:szCs w:val="20"/>
        </w:rPr>
        <w:t xml:space="preserve"> nilai </w:t>
      </w:r>
      <w:r>
        <w:rPr>
          <w:rFonts w:ascii="Arial" w:hAnsi="Arial" w:cs="Arial"/>
          <w:i/>
          <w:sz w:val="20"/>
          <w:szCs w:val="20"/>
        </w:rPr>
        <w:t>P-Value</w:t>
      </w:r>
      <w:r>
        <w:rPr>
          <w:rFonts w:ascii="Arial" w:hAnsi="Arial" w:cs="Arial"/>
          <w:sz w:val="20"/>
          <w:szCs w:val="20"/>
        </w:rPr>
        <w:t xml:space="preserve"> = 0,177 lebih besar dari taraf signifikan 0,05 yang artinya tidak ada hubungan antara peran kader kesehatan remaja dengan tingkat pengetahuan kesehatan reproduksi pada siswa-siswi di SMP Al-Azhar Syifa Budi Samarinda 2017.</w:t>
      </w:r>
    </w:p>
    <w:p>
      <w:pPr>
        <w:spacing w:line="240" w:lineRule="auto"/>
        <w:ind w:left="0" w:firstLine="0"/>
        <w:rPr>
          <w:rFonts w:ascii="Arial" w:hAnsi="Arial" w:cs="Arial"/>
          <w:sz w:val="20"/>
          <w:szCs w:val="20"/>
        </w:rPr>
      </w:pPr>
      <w:r>
        <w:rPr>
          <w:rFonts w:ascii="Arial" w:hAnsi="Arial" w:cs="Arial"/>
          <w:sz w:val="20"/>
          <w:szCs w:val="20"/>
        </w:rPr>
        <w:t xml:space="preserve">       Menurut Teori Lawrence Green tingkat pengetahuan di pengaruhi beberapa faktor yaitu, faktor predisposisi pengetahuan kesehatan reproduksi dan faktor penguat yaitu kader kesehatan remaja. Beberapa responden menilai peran kader kurang karena kurangnya jumlah kader yang ada di sekolah, menurut program PKPR dari Persatuan Keluarga Berencana Indonesia (PKBI, DIY) melati KKR/Konselor Sebaya 10% dari jumlah murid di sekolah binaan. Sedangkan di SMP Al-Azhar Syifa Budi Samarinda, hanya tersedia 2 Kader kesehatan remaja, sehingga kurang efektif dalam melakukan kegiatan kader di sekolah.</w:t>
      </w:r>
    </w:p>
    <w:p>
      <w:pPr>
        <w:spacing w:line="240" w:lineRule="auto"/>
        <w:ind w:left="0" w:firstLine="0"/>
        <w:rPr>
          <w:rFonts w:ascii="Arial" w:hAnsi="Arial" w:cs="Arial"/>
          <w:sz w:val="20"/>
          <w:szCs w:val="20"/>
        </w:rPr>
      </w:pPr>
      <w:r>
        <w:rPr>
          <w:rFonts w:ascii="Arial" w:hAnsi="Arial" w:cs="Arial"/>
          <w:sz w:val="20"/>
          <w:szCs w:val="20"/>
        </w:rPr>
        <w:t xml:space="preserve">       Penelitian ini sejalan dengan hasil penelitian Indra Gunawan (2015) diperoleh bahwa ada responden yang tidak mengetahui adanya PIK-R di sekolahnya sehingga para responden tidak mencari informasi tentang seks pranikah. Hasil penelitian ini ditemukan bahwa ada 8 respondren (7,7%) yang tidak mengetahui adanya PIK-R di sekolahnya dan separuh responden yang (50%) yang memanfaatkan PIK-R dengan mencari infromasi dan berkonsultasi/berdiskusi mengenai masalah kesehatan reproduksi. Hasil uji </w:t>
      </w:r>
      <w:r>
        <w:rPr>
          <w:rFonts w:ascii="Arial" w:hAnsi="Arial" w:cs="Arial"/>
          <w:i/>
          <w:sz w:val="20"/>
          <w:szCs w:val="20"/>
        </w:rPr>
        <w:t>Chi square</w:t>
      </w:r>
      <w:r>
        <w:rPr>
          <w:rFonts w:ascii="Arial" w:hAnsi="Arial" w:cs="Arial"/>
          <w:sz w:val="20"/>
          <w:szCs w:val="20"/>
        </w:rPr>
        <w:t xml:space="preserve"> menunjukkan bahwa ketersediaan pendidik sebaya tidak berhubungan dengan peningkatan pengetahuan seks pra-nikah (</w:t>
      </w:r>
      <w:r>
        <w:rPr>
          <w:rFonts w:ascii="Arial" w:hAnsi="Arial" w:cs="Arial"/>
          <w:i/>
          <w:sz w:val="20"/>
          <w:szCs w:val="20"/>
        </w:rPr>
        <w:t>P-value</w:t>
      </w:r>
      <w:r>
        <w:rPr>
          <w:rFonts w:ascii="Arial" w:hAnsi="Arial" w:cs="Arial"/>
          <w:sz w:val="20"/>
          <w:szCs w:val="20"/>
        </w:rPr>
        <w:t xml:space="preserve"> 0,065).</w:t>
      </w:r>
    </w:p>
    <w:p>
      <w:pPr>
        <w:spacing w:line="240" w:lineRule="auto"/>
        <w:ind w:left="0" w:firstLine="0"/>
        <w:rPr>
          <w:rFonts w:ascii="Arial" w:hAnsi="Arial" w:cs="Arial"/>
          <w:sz w:val="20"/>
          <w:szCs w:val="20"/>
        </w:rPr>
      </w:pPr>
    </w:p>
    <w:p>
      <w:pPr>
        <w:spacing w:line="240" w:lineRule="auto"/>
        <w:ind w:left="0" w:firstLine="0"/>
        <w:rPr>
          <w:rFonts w:ascii="Arial" w:hAnsi="Arial" w:cs="Arial"/>
          <w:b/>
          <w:sz w:val="20"/>
          <w:szCs w:val="20"/>
        </w:rPr>
      </w:pPr>
      <w:r>
        <w:rPr>
          <w:rFonts w:ascii="Arial" w:hAnsi="Arial" w:cs="Arial"/>
          <w:b/>
          <w:sz w:val="20"/>
          <w:szCs w:val="20"/>
        </w:rPr>
        <w:t>KESIMPULAN</w:t>
      </w:r>
    </w:p>
    <w:p>
      <w:pPr>
        <w:pStyle w:val="7"/>
        <w:numPr>
          <w:ilvl w:val="0"/>
          <w:numId w:val="4"/>
        </w:numPr>
        <w:spacing w:line="240" w:lineRule="auto"/>
        <w:ind w:left="0" w:firstLine="0"/>
        <w:rPr>
          <w:rFonts w:ascii="Arial" w:hAnsi="Arial" w:cs="Arial"/>
          <w:sz w:val="20"/>
          <w:szCs w:val="20"/>
        </w:rPr>
      </w:pPr>
      <w:r>
        <w:rPr>
          <w:rFonts w:ascii="Arial" w:hAnsi="Arial" w:cs="Arial"/>
          <w:sz w:val="20"/>
          <w:szCs w:val="20"/>
        </w:rPr>
        <w:t>Tingkat pengetahuan kesehatan reproduksi 12 responden dengan presentase 16% memiliki pengetahuan yang baik, sedangkan 39 responden dengan presentase 52% memiliki pengetahuan yang cukup baik dan 24 responden dengan presentase 32% memiliki pengetahuan yang rendah. Jadi, pengetahuan responden tentang kesehatan reproduksi cukup baik dilihat dari besarnya presentase.</w:t>
      </w:r>
    </w:p>
    <w:p>
      <w:pPr>
        <w:pStyle w:val="7"/>
        <w:numPr>
          <w:ilvl w:val="0"/>
          <w:numId w:val="4"/>
        </w:numPr>
        <w:spacing w:line="240" w:lineRule="auto"/>
        <w:ind w:left="0" w:firstLine="0"/>
        <w:rPr>
          <w:rFonts w:ascii="Arial" w:hAnsi="Arial" w:cs="Arial"/>
          <w:sz w:val="20"/>
          <w:szCs w:val="20"/>
        </w:rPr>
      </w:pPr>
      <w:r>
        <w:rPr>
          <w:rFonts w:ascii="Arial" w:hAnsi="Arial" w:cs="Arial"/>
          <w:sz w:val="20"/>
          <w:szCs w:val="20"/>
        </w:rPr>
        <w:t>Peran kader kesehatan remaja dinilai dari 39 responden dengan presentase 52% dinilai baik perannya oleh responden dan dinilai masih kurang oleh 36 responden dengan presentase 48%.</w:t>
      </w:r>
    </w:p>
    <w:p>
      <w:pPr>
        <w:pStyle w:val="7"/>
        <w:numPr>
          <w:ilvl w:val="0"/>
          <w:numId w:val="4"/>
        </w:numPr>
        <w:spacing w:line="240" w:lineRule="auto"/>
        <w:ind w:left="0" w:firstLine="0"/>
        <w:rPr>
          <w:rFonts w:ascii="Arial" w:hAnsi="Arial" w:cs="Arial"/>
          <w:sz w:val="20"/>
          <w:szCs w:val="20"/>
        </w:rPr>
      </w:pPr>
      <w:r>
        <w:rPr>
          <w:rFonts w:ascii="Arial" w:hAnsi="Arial" w:cs="Arial"/>
          <w:sz w:val="20"/>
          <w:szCs w:val="20"/>
        </w:rPr>
        <w:t xml:space="preserve">Berdasarkan dari hasil uji </w:t>
      </w:r>
      <w:r>
        <w:rPr>
          <w:rFonts w:ascii="Arial" w:hAnsi="Arial" w:cs="Arial"/>
          <w:i/>
          <w:sz w:val="20"/>
          <w:szCs w:val="20"/>
        </w:rPr>
        <w:t xml:space="preserve">Chi square </w:t>
      </w:r>
      <w:r>
        <w:rPr>
          <w:rFonts w:ascii="Arial" w:hAnsi="Arial" w:cs="Arial"/>
          <w:sz w:val="20"/>
          <w:szCs w:val="20"/>
        </w:rPr>
        <w:t xml:space="preserve">tidak ada hubungan peran kader kesehatan remaja dengan tingkat pengetahuan kesehatan reproduksi dilihat dari nilai uji </w:t>
      </w:r>
      <w:r>
        <w:rPr>
          <w:rFonts w:ascii="Arial" w:hAnsi="Arial" w:cs="Arial"/>
          <w:i/>
          <w:sz w:val="20"/>
          <w:szCs w:val="20"/>
        </w:rPr>
        <w:t>Chi square</w:t>
      </w:r>
      <w:r>
        <w:rPr>
          <w:rFonts w:ascii="Arial" w:hAnsi="Arial" w:cs="Arial"/>
          <w:sz w:val="20"/>
          <w:szCs w:val="20"/>
        </w:rPr>
        <w:t xml:space="preserve"> </w:t>
      </w:r>
      <w:r>
        <w:rPr>
          <w:rFonts w:ascii="Arial" w:hAnsi="Arial" w:cs="Arial"/>
          <w:i/>
          <w:sz w:val="20"/>
          <w:szCs w:val="20"/>
        </w:rPr>
        <w:t>P-value</w:t>
      </w:r>
      <w:r>
        <w:rPr>
          <w:rFonts w:ascii="Arial" w:hAnsi="Arial" w:cs="Arial"/>
          <w:sz w:val="20"/>
          <w:szCs w:val="20"/>
        </w:rPr>
        <w:t xml:space="preserve"> 0,177, nilai ini lebih besar dari taraf signifikan yaitu 0,05.</w:t>
      </w:r>
    </w:p>
    <w:p>
      <w:pPr>
        <w:spacing w:line="240" w:lineRule="auto"/>
        <w:rPr>
          <w:rFonts w:ascii="Arial" w:hAnsi="Arial" w:cs="Arial"/>
          <w:sz w:val="20"/>
          <w:szCs w:val="20"/>
        </w:rPr>
      </w:pPr>
    </w:p>
    <w:p>
      <w:pPr>
        <w:spacing w:line="240" w:lineRule="auto"/>
        <w:rPr>
          <w:rFonts w:ascii="Arial" w:hAnsi="Arial" w:cs="Arial"/>
          <w:sz w:val="20"/>
          <w:szCs w:val="20"/>
        </w:rPr>
      </w:pPr>
    </w:p>
    <w:p>
      <w:pPr>
        <w:spacing w:line="240" w:lineRule="auto"/>
        <w:rPr>
          <w:rFonts w:ascii="Arial" w:hAnsi="Arial" w:cs="Arial"/>
          <w:sz w:val="20"/>
          <w:szCs w:val="20"/>
        </w:rPr>
      </w:pPr>
    </w:p>
    <w:p>
      <w:pPr>
        <w:spacing w:line="240" w:lineRule="auto"/>
        <w:rPr>
          <w:rFonts w:ascii="Arial" w:hAnsi="Arial" w:cs="Arial"/>
          <w:sz w:val="20"/>
          <w:szCs w:val="20"/>
        </w:rPr>
      </w:pPr>
    </w:p>
    <w:p>
      <w:pPr>
        <w:spacing w:line="240" w:lineRule="auto"/>
        <w:ind w:left="0" w:firstLine="0"/>
        <w:rPr>
          <w:rFonts w:ascii="Arial" w:hAnsi="Arial" w:cs="Arial"/>
          <w:b/>
          <w:sz w:val="20"/>
          <w:szCs w:val="20"/>
        </w:rPr>
      </w:pPr>
      <w:r>
        <w:rPr>
          <w:rFonts w:ascii="Arial" w:hAnsi="Arial" w:cs="Arial"/>
          <w:b/>
          <w:sz w:val="20"/>
          <w:szCs w:val="20"/>
        </w:rPr>
        <w:t>SARAN</w:t>
      </w:r>
    </w:p>
    <w:p>
      <w:pPr>
        <w:pStyle w:val="7"/>
        <w:numPr>
          <w:ilvl w:val="0"/>
          <w:numId w:val="5"/>
        </w:numPr>
        <w:spacing w:line="240" w:lineRule="auto"/>
        <w:ind w:left="0" w:firstLine="0"/>
        <w:rPr>
          <w:rFonts w:ascii="Arial" w:hAnsi="Arial" w:cs="Arial"/>
          <w:sz w:val="20"/>
          <w:szCs w:val="20"/>
        </w:rPr>
      </w:pPr>
      <w:r>
        <w:rPr>
          <w:rFonts w:ascii="Arial" w:hAnsi="Arial" w:cs="Arial"/>
          <w:sz w:val="20"/>
          <w:szCs w:val="20"/>
        </w:rPr>
        <w:t>Bagi Puskesmas</w:t>
      </w:r>
    </w:p>
    <w:p>
      <w:pPr>
        <w:pStyle w:val="7"/>
        <w:spacing w:line="240" w:lineRule="auto"/>
        <w:ind w:left="0" w:firstLine="0"/>
        <w:rPr>
          <w:rFonts w:ascii="Arial" w:hAnsi="Arial" w:cs="Arial"/>
          <w:sz w:val="20"/>
          <w:szCs w:val="20"/>
        </w:rPr>
      </w:pPr>
      <w:r>
        <w:rPr>
          <w:rFonts w:ascii="Arial" w:hAnsi="Arial" w:cs="Arial"/>
          <w:sz w:val="20"/>
          <w:szCs w:val="20"/>
        </w:rPr>
        <w:t>Melatih kader kesehatan remaja atau konselor sebaya 10% jumlah murid di sekolah binaan, dan membina minimal 1 sekolah (sekolah umum; sekolah berbasis agama) dan melakukan KIE (komunikasi, informasi dan edukasi) 2 kali setahun.</w:t>
      </w:r>
    </w:p>
    <w:p>
      <w:pPr>
        <w:pStyle w:val="7"/>
        <w:numPr>
          <w:ilvl w:val="0"/>
          <w:numId w:val="5"/>
        </w:numPr>
        <w:spacing w:line="240" w:lineRule="auto"/>
        <w:ind w:left="0" w:firstLine="0"/>
        <w:rPr>
          <w:rFonts w:ascii="Arial" w:hAnsi="Arial" w:cs="Arial"/>
          <w:sz w:val="20"/>
          <w:szCs w:val="20"/>
        </w:rPr>
      </w:pPr>
      <w:r>
        <w:rPr>
          <w:rFonts w:ascii="Arial" w:hAnsi="Arial" w:cs="Arial"/>
          <w:sz w:val="20"/>
          <w:szCs w:val="20"/>
        </w:rPr>
        <w:t>Bagi Remaja/Siswa-siswi</w:t>
      </w:r>
    </w:p>
    <w:p>
      <w:pPr>
        <w:pStyle w:val="7"/>
        <w:spacing w:line="240" w:lineRule="auto"/>
        <w:ind w:left="0" w:firstLine="0"/>
        <w:rPr>
          <w:rFonts w:ascii="Arial" w:hAnsi="Arial" w:cs="Arial"/>
          <w:sz w:val="20"/>
          <w:szCs w:val="20"/>
        </w:rPr>
      </w:pPr>
      <w:r>
        <w:rPr>
          <w:rFonts w:ascii="Arial" w:hAnsi="Arial" w:cs="Arial"/>
          <w:sz w:val="20"/>
          <w:szCs w:val="20"/>
        </w:rPr>
        <w:t>Dengan adanya kader kesehatan remaja disekolah dapat menambah wawasan atau informasi tentang kesehatan reproduksi dan kesehatan lainnya, sehingga dapat mencegah atau sebagai perlindungan diri dari perilaku yang dapat merugikan diri. Dan meningkatkan minat siswa-siswi untuk menjadi kader kesehatan remaja.</w:t>
      </w:r>
    </w:p>
    <w:p>
      <w:pPr>
        <w:pStyle w:val="7"/>
        <w:numPr>
          <w:ilvl w:val="0"/>
          <w:numId w:val="5"/>
        </w:numPr>
        <w:spacing w:line="240" w:lineRule="auto"/>
        <w:ind w:left="0" w:firstLine="0"/>
        <w:rPr>
          <w:rFonts w:ascii="Arial" w:hAnsi="Arial" w:cs="Arial"/>
          <w:sz w:val="20"/>
          <w:szCs w:val="20"/>
        </w:rPr>
      </w:pPr>
      <w:r>
        <w:rPr>
          <w:rFonts w:ascii="Arial" w:hAnsi="Arial" w:cs="Arial"/>
          <w:sz w:val="20"/>
          <w:szCs w:val="20"/>
        </w:rPr>
        <w:t>Bagi Stikes Muhammadiyah Samarinda</w:t>
      </w:r>
    </w:p>
    <w:p>
      <w:pPr>
        <w:spacing w:line="240" w:lineRule="auto"/>
        <w:ind w:left="0" w:firstLine="0"/>
        <w:rPr>
          <w:rFonts w:ascii="Arial" w:hAnsi="Arial" w:cs="Arial"/>
          <w:sz w:val="20"/>
          <w:szCs w:val="20"/>
        </w:rPr>
      </w:pPr>
      <w:r>
        <w:rPr>
          <w:rFonts w:ascii="Arial" w:hAnsi="Arial" w:cs="Arial"/>
          <w:sz w:val="20"/>
          <w:szCs w:val="20"/>
        </w:rPr>
        <w:t>Diharapkan dari hasil penelitian ini dapat digunakan sebagai dasar atau acuan pembelajaran untuk penelitian selanjutnya. Dan juga hasil penelitian ini dapat digunakan sebagai referensi penelitian.</w:t>
      </w:r>
    </w:p>
    <w:p>
      <w:pPr>
        <w:spacing w:line="240" w:lineRule="auto"/>
        <w:ind w:left="0" w:firstLine="0"/>
        <w:rPr>
          <w:rFonts w:ascii="Arial" w:hAnsi="Arial" w:cs="Arial"/>
          <w:b/>
          <w:sz w:val="20"/>
          <w:szCs w:val="20"/>
        </w:rPr>
      </w:pPr>
      <w:r>
        <w:rPr>
          <w:rFonts w:ascii="Arial" w:hAnsi="Arial" w:cs="Arial"/>
          <w:b/>
          <w:sz w:val="20"/>
          <w:szCs w:val="20"/>
        </w:rPr>
        <w:t>DAFTAR PUSTAKA</w:t>
      </w:r>
    </w:p>
    <w:p>
      <w:pPr>
        <w:spacing w:line="240" w:lineRule="auto"/>
        <w:ind w:hanging="720"/>
        <w:rPr>
          <w:rFonts w:ascii="Arial" w:hAnsi="Arial" w:cs="Arial"/>
          <w:sz w:val="20"/>
          <w:szCs w:val="20"/>
        </w:rPr>
      </w:pPr>
      <w:r>
        <w:rPr>
          <w:rFonts w:ascii="Arial" w:hAnsi="Arial" w:cs="Arial"/>
          <w:sz w:val="20"/>
          <w:szCs w:val="20"/>
        </w:rPr>
        <w:t xml:space="preserve">BKKBN. (2008). </w:t>
      </w:r>
      <w:r>
        <w:rPr>
          <w:rFonts w:ascii="Arial" w:hAnsi="Arial" w:cs="Arial"/>
          <w:i/>
          <w:sz w:val="20"/>
          <w:szCs w:val="20"/>
        </w:rPr>
        <w:t>Modul Kesehatan Reproduksi Remaja</w:t>
      </w:r>
      <w:r>
        <w:rPr>
          <w:rFonts w:ascii="Arial" w:hAnsi="Arial" w:cs="Arial"/>
          <w:sz w:val="20"/>
          <w:szCs w:val="20"/>
        </w:rPr>
        <w:t>. Yogyakarta : BKKBN</w:t>
      </w:r>
    </w:p>
    <w:p>
      <w:pPr>
        <w:spacing w:before="240" w:line="240" w:lineRule="auto"/>
        <w:ind w:hanging="720"/>
        <w:rPr>
          <w:rFonts w:ascii="Arial" w:hAnsi="Arial" w:cs="Arial"/>
          <w:sz w:val="20"/>
          <w:szCs w:val="20"/>
        </w:rPr>
      </w:pPr>
      <w:r>
        <w:rPr>
          <w:rFonts w:ascii="Arial" w:hAnsi="Arial" w:cs="Arial"/>
          <w:sz w:val="20"/>
          <w:szCs w:val="20"/>
        </w:rPr>
        <w:t xml:space="preserve">BKKBN. (2012). </w:t>
      </w:r>
      <w:r>
        <w:rPr>
          <w:rFonts w:ascii="Arial" w:hAnsi="Arial" w:cs="Arial"/>
          <w:i/>
          <w:sz w:val="20"/>
          <w:szCs w:val="20"/>
        </w:rPr>
        <w:t>Indonesia Demographic and Health Survey 2012</w:t>
      </w:r>
      <w:r>
        <w:rPr>
          <w:rFonts w:ascii="Arial" w:hAnsi="Arial" w:cs="Arial"/>
          <w:sz w:val="20"/>
          <w:szCs w:val="20"/>
        </w:rPr>
        <w:t xml:space="preserve"> (SDKI 2012). Jakarta</w:t>
      </w:r>
    </w:p>
    <w:p>
      <w:pPr>
        <w:spacing w:line="240" w:lineRule="auto"/>
        <w:ind w:hanging="720"/>
        <w:rPr>
          <w:rFonts w:ascii="Arial" w:hAnsi="Arial" w:cs="Arial"/>
          <w:sz w:val="20"/>
          <w:szCs w:val="24"/>
        </w:rPr>
      </w:pPr>
      <w:r>
        <w:rPr>
          <w:rFonts w:ascii="Arial" w:hAnsi="Arial" w:cs="Arial"/>
          <w:sz w:val="20"/>
          <w:szCs w:val="24"/>
        </w:rPr>
        <w:t>Dinas Kesehatan Provinsi Samarinda (2016). Jumlah Kader Kesehatan Remaja</w:t>
      </w:r>
    </w:p>
    <w:p>
      <w:pPr>
        <w:spacing w:line="240" w:lineRule="auto"/>
        <w:ind w:hanging="720"/>
        <w:rPr>
          <w:rFonts w:ascii="Arial" w:hAnsi="Arial" w:cs="Arial"/>
          <w:sz w:val="20"/>
          <w:szCs w:val="20"/>
        </w:rPr>
      </w:pPr>
      <w:r>
        <w:rPr>
          <w:rFonts w:ascii="Arial" w:hAnsi="Arial" w:cs="Arial"/>
          <w:sz w:val="20"/>
          <w:szCs w:val="24"/>
        </w:rPr>
        <w:t>Dinas Kesehatan Kota Samarinda (2016). Wilayah Kerja Puskesmas dengan Program Pelayanan Kesehatan Peduli Remaja</w:t>
      </w:r>
    </w:p>
    <w:p>
      <w:pPr>
        <w:spacing w:line="240" w:lineRule="auto"/>
        <w:ind w:hanging="720"/>
        <w:rPr>
          <w:rFonts w:ascii="Arial" w:hAnsi="Arial" w:cs="Arial"/>
          <w:sz w:val="20"/>
          <w:szCs w:val="20"/>
        </w:rPr>
      </w:pPr>
      <w:r>
        <w:rPr>
          <w:rFonts w:ascii="Arial" w:hAnsi="Arial" w:cs="Arial"/>
          <w:sz w:val="20"/>
          <w:szCs w:val="20"/>
        </w:rPr>
        <w:t xml:space="preserve">Fadhlina, D. (2012). Pelaksanaan PKPR 2012. </w:t>
      </w:r>
      <w:r>
        <w:fldChar w:fldCharType="begin"/>
      </w:r>
      <w:r>
        <w:instrText xml:space="preserve"> HYPERLINK "http://pkpr.datainformasi.net/berita-101-pelaksanaan-pelayanan-kesehatan-peduli-remaja-pkpr.html" </w:instrText>
      </w:r>
      <w:r>
        <w:fldChar w:fldCharType="separate"/>
      </w:r>
      <w:r>
        <w:rPr>
          <w:rStyle w:val="4"/>
          <w:rFonts w:ascii="Arial" w:hAnsi="Arial" w:cs="Arial"/>
          <w:color w:val="auto"/>
          <w:sz w:val="20"/>
          <w:szCs w:val="20"/>
        </w:rPr>
        <w:t>http://pkpr.datainformasi.net/berita-101-pelaksanaan-pelayanan-kesehatan-peduli-remaja-pkpr.html</w:t>
      </w:r>
      <w:r>
        <w:rPr>
          <w:rStyle w:val="4"/>
          <w:rFonts w:ascii="Arial" w:hAnsi="Arial" w:cs="Arial"/>
          <w:color w:val="auto"/>
          <w:sz w:val="20"/>
          <w:szCs w:val="20"/>
        </w:rPr>
        <w:fldChar w:fldCharType="end"/>
      </w:r>
      <w:r>
        <w:rPr>
          <w:rFonts w:ascii="Arial" w:hAnsi="Arial" w:cs="Arial"/>
          <w:sz w:val="20"/>
          <w:szCs w:val="20"/>
        </w:rPr>
        <w:t xml:space="preserve"> di akses 1 November 2016</w:t>
      </w:r>
    </w:p>
    <w:p>
      <w:pPr>
        <w:spacing w:line="240" w:lineRule="auto"/>
        <w:ind w:hanging="720"/>
        <w:rPr>
          <w:rFonts w:ascii="Arial" w:hAnsi="Arial" w:cs="Arial"/>
          <w:sz w:val="20"/>
          <w:szCs w:val="20"/>
        </w:rPr>
      </w:pPr>
      <w:r>
        <w:rPr>
          <w:rFonts w:ascii="Arial" w:hAnsi="Arial" w:cs="Arial"/>
          <w:sz w:val="20"/>
          <w:szCs w:val="20"/>
        </w:rPr>
        <w:t>Gunawan. Indra (2015). Pengetahuan, Sikap dan Peran Teman Sebaya Terhadap Perilaku Seksual Pra-Nikah pada Siswa-siswi Kelas XI di SMA Negeri X Batanghari 2014</w:t>
      </w:r>
    </w:p>
    <w:p>
      <w:pPr>
        <w:spacing w:line="240" w:lineRule="auto"/>
        <w:ind w:hanging="720"/>
        <w:rPr>
          <w:rFonts w:ascii="Arial" w:hAnsi="Arial" w:cs="Arial"/>
          <w:sz w:val="20"/>
          <w:szCs w:val="20"/>
        </w:rPr>
      </w:pPr>
      <w:r>
        <w:rPr>
          <w:rFonts w:ascii="Arial" w:hAnsi="Arial" w:cs="Arial"/>
          <w:sz w:val="20"/>
          <w:szCs w:val="20"/>
        </w:rPr>
        <w:t xml:space="preserve">Notoadmodjo, S. (2003). </w:t>
      </w:r>
      <w:r>
        <w:rPr>
          <w:rFonts w:ascii="Arial" w:hAnsi="Arial" w:cs="Arial"/>
          <w:i/>
          <w:sz w:val="20"/>
          <w:szCs w:val="20"/>
        </w:rPr>
        <w:t>Pendidikan dan perilaku Kesehatan</w:t>
      </w:r>
      <w:r>
        <w:rPr>
          <w:rFonts w:ascii="Arial" w:hAnsi="Arial" w:cs="Arial"/>
          <w:sz w:val="20"/>
          <w:szCs w:val="20"/>
        </w:rPr>
        <w:t>. Jakarta: Rineka Cipta</w:t>
      </w:r>
    </w:p>
    <w:p>
      <w:pPr>
        <w:spacing w:line="240" w:lineRule="auto"/>
        <w:ind w:hanging="720"/>
        <w:rPr>
          <w:rFonts w:ascii="Arial" w:hAnsi="Arial" w:cs="Arial"/>
          <w:sz w:val="20"/>
          <w:szCs w:val="20"/>
        </w:rPr>
      </w:pPr>
      <w:r>
        <w:rPr>
          <w:rFonts w:ascii="Arial" w:hAnsi="Arial" w:cs="Arial"/>
          <w:sz w:val="20"/>
          <w:szCs w:val="20"/>
        </w:rPr>
        <w:t xml:space="preserve">Notoadmodjo, S. (2010). </w:t>
      </w:r>
      <w:r>
        <w:rPr>
          <w:rFonts w:ascii="Arial" w:hAnsi="Arial" w:cs="Arial"/>
          <w:i/>
          <w:sz w:val="20"/>
          <w:szCs w:val="20"/>
        </w:rPr>
        <w:t>Metodologi Penelitian Kesehatan</w:t>
      </w:r>
      <w:r>
        <w:rPr>
          <w:rFonts w:ascii="Arial" w:hAnsi="Arial" w:cs="Arial"/>
          <w:sz w:val="20"/>
          <w:szCs w:val="20"/>
        </w:rPr>
        <w:t>. Jakarta : Rineka Cipta</w:t>
      </w:r>
    </w:p>
    <w:p>
      <w:pPr>
        <w:spacing w:line="240" w:lineRule="auto"/>
        <w:ind w:hanging="720"/>
        <w:rPr>
          <w:rFonts w:ascii="Arial" w:hAnsi="Arial" w:cs="Arial"/>
          <w:sz w:val="24"/>
          <w:szCs w:val="24"/>
        </w:rPr>
      </w:pPr>
      <w:r>
        <w:rPr>
          <w:rFonts w:ascii="Arial" w:hAnsi="Arial" w:cs="Arial"/>
          <w:sz w:val="20"/>
          <w:szCs w:val="20"/>
        </w:rPr>
        <w:t xml:space="preserve">Notoadmodjo, S. (2012). </w:t>
      </w:r>
      <w:r>
        <w:rPr>
          <w:rFonts w:ascii="Arial" w:hAnsi="Arial" w:cs="Arial"/>
          <w:i/>
          <w:sz w:val="20"/>
          <w:szCs w:val="20"/>
        </w:rPr>
        <w:t>Kesehatan Masyarakat Ilmu dan Seni</w:t>
      </w:r>
      <w:r>
        <w:rPr>
          <w:rFonts w:ascii="Arial" w:hAnsi="Arial" w:cs="Arial"/>
          <w:sz w:val="20"/>
          <w:szCs w:val="20"/>
        </w:rPr>
        <w:t>. Jakarta : Rineka Cipta</w:t>
      </w:r>
      <w:r>
        <w:rPr>
          <w:rFonts w:ascii="Arial" w:hAnsi="Arial" w:cs="Arial"/>
          <w:sz w:val="24"/>
          <w:szCs w:val="24"/>
        </w:rPr>
        <w:t>.</w:t>
      </w:r>
    </w:p>
    <w:p>
      <w:pPr>
        <w:spacing w:line="240" w:lineRule="auto"/>
        <w:ind w:hanging="720"/>
        <w:rPr>
          <w:rFonts w:ascii="Arial" w:hAnsi="Arial" w:cs="Arial"/>
          <w:sz w:val="20"/>
          <w:szCs w:val="20"/>
        </w:rPr>
      </w:pPr>
      <w:r>
        <w:rPr>
          <w:rFonts w:ascii="Arial" w:hAnsi="Arial" w:cs="Arial"/>
          <w:sz w:val="20"/>
          <w:szCs w:val="20"/>
        </w:rPr>
        <w:t>Persatuan Keluarga Berencana Indonesia. (2014). Daerah Istimewa Yogyakarta</w:t>
      </w:r>
    </w:p>
    <w:p>
      <w:pPr>
        <w:spacing w:line="240" w:lineRule="auto"/>
        <w:ind w:hanging="720"/>
        <w:rPr>
          <w:rFonts w:ascii="Arial" w:hAnsi="Arial" w:cs="Arial"/>
          <w:sz w:val="20"/>
          <w:szCs w:val="20"/>
        </w:rPr>
      </w:pPr>
      <w:r>
        <w:rPr>
          <w:rFonts w:ascii="Arial" w:hAnsi="Arial" w:cs="Arial"/>
          <w:sz w:val="20"/>
          <w:szCs w:val="20"/>
        </w:rPr>
        <w:t xml:space="preserve">Sugiyono. (2014). </w:t>
      </w:r>
      <w:r>
        <w:rPr>
          <w:rFonts w:ascii="Arial" w:hAnsi="Arial" w:cs="Arial"/>
          <w:i/>
          <w:sz w:val="20"/>
          <w:szCs w:val="20"/>
        </w:rPr>
        <w:t>Metode Penelitian Pendidikan Pendekatan Kuantitatif, Kualitatif dan R&amp;D</w:t>
      </w:r>
      <w:r>
        <w:rPr>
          <w:rFonts w:ascii="Arial" w:hAnsi="Arial" w:cs="Arial"/>
          <w:sz w:val="20"/>
          <w:szCs w:val="20"/>
        </w:rPr>
        <w:t>. Bandung : Alfabeta.</w:t>
      </w:r>
    </w:p>
    <w:p>
      <w:pPr>
        <w:spacing w:line="240" w:lineRule="auto"/>
        <w:ind w:hanging="720"/>
        <w:rPr>
          <w:rFonts w:ascii="Arial" w:hAnsi="Arial" w:cs="Arial"/>
          <w:sz w:val="16"/>
          <w:szCs w:val="20"/>
        </w:rPr>
      </w:pPr>
      <w:r>
        <w:rPr>
          <w:rFonts w:ascii="Arial" w:hAnsi="Arial" w:cs="Arial"/>
          <w:sz w:val="20"/>
          <w:szCs w:val="24"/>
        </w:rPr>
        <w:t>Puskesmas Sempaja, (2016). Data Sekolah Binaan Puskesmas Sempaja</w:t>
      </w:r>
    </w:p>
    <w:p>
      <w:pPr>
        <w:spacing w:line="240" w:lineRule="auto"/>
        <w:ind w:hanging="720"/>
        <w:rPr>
          <w:rFonts w:ascii="Arial" w:hAnsi="Arial" w:cs="Arial"/>
          <w:sz w:val="20"/>
          <w:szCs w:val="20"/>
        </w:rPr>
      </w:pPr>
      <w:r>
        <w:rPr>
          <w:rFonts w:ascii="Arial" w:hAnsi="Arial" w:cs="Arial"/>
          <w:sz w:val="20"/>
          <w:szCs w:val="20"/>
        </w:rPr>
        <w:t>Tri Wahyudianingsih, Indra. (2012). Hubungan antara Pengetahuan Kesehatan Reproduksi, Keyakinan Agama dan Kelompok Sebaya dengan Sikap tentang Seks Bebas pada Remaja. Jawa Timur.</w:t>
      </w:r>
    </w:p>
    <w:p>
      <w:pPr>
        <w:spacing w:line="240" w:lineRule="auto"/>
        <w:ind w:hanging="720"/>
        <w:rPr>
          <w:rFonts w:ascii="Arial" w:hAnsi="Arial" w:cs="Arial"/>
          <w:sz w:val="20"/>
          <w:szCs w:val="20"/>
        </w:rPr>
      </w:pPr>
    </w:p>
    <w:p>
      <w:pPr>
        <w:spacing w:line="240" w:lineRule="auto"/>
        <w:ind w:hanging="720"/>
        <w:rPr>
          <w:rFonts w:ascii="Arial" w:hAnsi="Arial" w:cs="Arial"/>
          <w:sz w:val="20"/>
          <w:szCs w:val="20"/>
        </w:rPr>
      </w:pPr>
    </w:p>
    <w:p>
      <w:pPr>
        <w:spacing w:line="240" w:lineRule="auto"/>
        <w:ind w:hanging="720"/>
        <w:rPr>
          <w:rFonts w:ascii="Arial" w:hAnsi="Arial" w:cs="Arial"/>
          <w:sz w:val="20"/>
          <w:szCs w:val="20"/>
        </w:rPr>
      </w:pPr>
    </w:p>
    <w:p>
      <w:pPr>
        <w:spacing w:line="240" w:lineRule="auto"/>
        <w:ind w:hanging="720"/>
        <w:rPr>
          <w:rFonts w:ascii="Arial" w:hAnsi="Arial" w:cs="Arial"/>
          <w:sz w:val="20"/>
          <w:szCs w:val="20"/>
        </w:rPr>
      </w:pPr>
    </w:p>
    <w:p>
      <w:pPr>
        <w:spacing w:line="240" w:lineRule="auto"/>
        <w:ind w:hanging="720"/>
        <w:rPr>
          <w:rFonts w:ascii="Arial" w:hAnsi="Arial" w:cs="Arial"/>
          <w:sz w:val="20"/>
          <w:szCs w:val="20"/>
        </w:rPr>
      </w:pPr>
    </w:p>
    <w:p>
      <w:pPr>
        <w:spacing w:line="240" w:lineRule="auto"/>
        <w:ind w:hanging="720"/>
        <w:rPr>
          <w:rFonts w:ascii="Arial" w:hAnsi="Arial" w:cs="Arial"/>
          <w:sz w:val="20"/>
          <w:szCs w:val="20"/>
        </w:rPr>
      </w:pPr>
    </w:p>
    <w:p>
      <w:pPr>
        <w:spacing w:line="240" w:lineRule="auto"/>
        <w:ind w:hanging="720"/>
        <w:rPr>
          <w:rFonts w:ascii="Arial" w:hAnsi="Arial" w:cs="Arial"/>
          <w:sz w:val="20"/>
          <w:szCs w:val="20"/>
        </w:rPr>
      </w:pPr>
    </w:p>
    <w:p>
      <w:pPr>
        <w:spacing w:line="360" w:lineRule="auto"/>
        <w:jc w:val="center"/>
        <w:rPr>
          <w:rFonts w:ascii="Arial" w:hAnsi="Arial" w:cs="Arial"/>
          <w:b/>
          <w:sz w:val="24"/>
          <w:szCs w:val="24"/>
        </w:rPr>
        <w:sectPr>
          <w:type w:val="continuous"/>
          <w:pgSz w:w="11909" w:h="16834"/>
          <w:pgMar w:top="2268" w:right="1701" w:bottom="2268" w:left="1701" w:header="720" w:footer="720" w:gutter="0"/>
          <w:cols w:space="720" w:num="2"/>
          <w:docGrid w:linePitch="360" w:charSpace="0"/>
        </w:sectPr>
      </w:pPr>
    </w:p>
    <w:p>
      <w:pPr>
        <w:spacing w:line="360" w:lineRule="auto"/>
        <w:ind w:left="0" w:firstLine="0"/>
        <w:rPr>
          <w:rFonts w:ascii="Arial" w:hAnsi="Arial" w:cs="Arial"/>
          <w:b/>
          <w:szCs w:val="24"/>
        </w:rPr>
        <w:sectPr>
          <w:type w:val="continuous"/>
          <w:pgSz w:w="11909" w:h="16834"/>
          <w:pgMar w:top="2268" w:right="1701" w:bottom="2268" w:left="1701" w:header="720" w:footer="720" w:gutter="0"/>
          <w:cols w:space="720" w:num="1"/>
          <w:docGrid w:linePitch="360" w:charSpace="0"/>
        </w:sectPr>
      </w:pPr>
    </w:p>
    <w:p>
      <w:pPr>
        <w:spacing w:line="360" w:lineRule="auto"/>
        <w:ind w:left="0" w:firstLine="0"/>
        <w:rPr>
          <w:rFonts w:ascii="Arial" w:hAnsi="Arial" w:cs="Arial"/>
          <w:b/>
          <w:szCs w:val="24"/>
        </w:rPr>
      </w:pPr>
    </w:p>
    <w:p>
      <w:pPr>
        <w:spacing w:line="360" w:lineRule="auto"/>
        <w:jc w:val="center"/>
        <w:rPr>
          <w:rFonts w:ascii="Arial" w:hAnsi="Arial" w:cs="Arial"/>
          <w:b/>
          <w:szCs w:val="24"/>
        </w:rPr>
      </w:pPr>
    </w:p>
    <w:p>
      <w:pPr>
        <w:spacing w:line="360" w:lineRule="auto"/>
        <w:jc w:val="center"/>
        <w:rPr>
          <w:rFonts w:ascii="Arial" w:hAnsi="Arial" w:cs="Arial"/>
          <w:b/>
          <w:szCs w:val="24"/>
        </w:rPr>
      </w:pPr>
    </w:p>
    <w:p>
      <w:pPr>
        <w:spacing w:line="360" w:lineRule="auto"/>
        <w:jc w:val="center"/>
        <w:rPr>
          <w:rFonts w:ascii="Arial" w:hAnsi="Arial" w:cs="Arial"/>
          <w:b/>
          <w:szCs w:val="24"/>
        </w:rPr>
      </w:pPr>
    </w:p>
    <w:p>
      <w:pPr>
        <w:spacing w:line="360" w:lineRule="auto"/>
        <w:jc w:val="center"/>
        <w:rPr>
          <w:rFonts w:ascii="Arial" w:hAnsi="Arial" w:cs="Arial"/>
          <w:b/>
          <w:szCs w:val="24"/>
        </w:rPr>
      </w:pPr>
    </w:p>
    <w:sectPr>
      <w:pgSz w:w="11909" w:h="16834"/>
      <w:pgMar w:top="2268" w:right="1701" w:bottom="2268" w:left="17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altName w:val="Wingdings 2"/>
    <w:panose1 w:val="05000000000000000000"/>
    <w:charset w:val="02"/>
    <w:family w:val="auto"/>
    <w:pitch w:val="default"/>
    <w:sig w:usb0="00000000" w:usb1="1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A00002EF" w:usb1="420020EB" w:usb2="00000000" w:usb3="00000000" w:csb0="2000019F"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D2C1E"/>
    <w:multiLevelType w:val="multilevel"/>
    <w:tmpl w:val="107D2C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F330475"/>
    <w:multiLevelType w:val="multilevel"/>
    <w:tmpl w:val="2F33047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B0E4DF3"/>
    <w:multiLevelType w:val="multilevel"/>
    <w:tmpl w:val="3B0E4DF3"/>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
    <w:nsid w:val="42CD7220"/>
    <w:multiLevelType w:val="multilevel"/>
    <w:tmpl w:val="42CD722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7826192C"/>
    <w:multiLevelType w:val="multilevel"/>
    <w:tmpl w:val="7826192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ocumentProtection w:enforcement="0"/>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BF1A7D"/>
    <w:rsid w:val="000539DD"/>
    <w:rsid w:val="00057F2C"/>
    <w:rsid w:val="000613FA"/>
    <w:rsid w:val="000937D5"/>
    <w:rsid w:val="001101C4"/>
    <w:rsid w:val="00163962"/>
    <w:rsid w:val="001A3827"/>
    <w:rsid w:val="001A6413"/>
    <w:rsid w:val="001B3E82"/>
    <w:rsid w:val="001F1F46"/>
    <w:rsid w:val="00205AA2"/>
    <w:rsid w:val="00286805"/>
    <w:rsid w:val="002C2E28"/>
    <w:rsid w:val="0030585A"/>
    <w:rsid w:val="00307DB0"/>
    <w:rsid w:val="00341117"/>
    <w:rsid w:val="003422C3"/>
    <w:rsid w:val="00357F16"/>
    <w:rsid w:val="00361E0C"/>
    <w:rsid w:val="00387E92"/>
    <w:rsid w:val="00396251"/>
    <w:rsid w:val="003C2350"/>
    <w:rsid w:val="003D273B"/>
    <w:rsid w:val="003E1FE8"/>
    <w:rsid w:val="00490484"/>
    <w:rsid w:val="004A0886"/>
    <w:rsid w:val="004C56D6"/>
    <w:rsid w:val="004D19D6"/>
    <w:rsid w:val="004D39C3"/>
    <w:rsid w:val="004F168D"/>
    <w:rsid w:val="005231B9"/>
    <w:rsid w:val="00592424"/>
    <w:rsid w:val="005D6CA2"/>
    <w:rsid w:val="0062566A"/>
    <w:rsid w:val="006663B9"/>
    <w:rsid w:val="006A5DC4"/>
    <w:rsid w:val="006E0611"/>
    <w:rsid w:val="007179FF"/>
    <w:rsid w:val="0073527E"/>
    <w:rsid w:val="007671F9"/>
    <w:rsid w:val="00794FAC"/>
    <w:rsid w:val="007B2FE1"/>
    <w:rsid w:val="007C5FA6"/>
    <w:rsid w:val="00827595"/>
    <w:rsid w:val="00841FCB"/>
    <w:rsid w:val="008F45E3"/>
    <w:rsid w:val="00925F10"/>
    <w:rsid w:val="0099445A"/>
    <w:rsid w:val="009A543C"/>
    <w:rsid w:val="009A7EA9"/>
    <w:rsid w:val="009B7945"/>
    <w:rsid w:val="00A013C2"/>
    <w:rsid w:val="00A47D80"/>
    <w:rsid w:val="00A50BFE"/>
    <w:rsid w:val="00A73496"/>
    <w:rsid w:val="00A82BCA"/>
    <w:rsid w:val="00A878F2"/>
    <w:rsid w:val="00AA43D1"/>
    <w:rsid w:val="00B06558"/>
    <w:rsid w:val="00B7392A"/>
    <w:rsid w:val="00BF1A7D"/>
    <w:rsid w:val="00C1679F"/>
    <w:rsid w:val="00C25186"/>
    <w:rsid w:val="00C41C60"/>
    <w:rsid w:val="00C6628C"/>
    <w:rsid w:val="00CB6533"/>
    <w:rsid w:val="00CE6D21"/>
    <w:rsid w:val="00CF36E2"/>
    <w:rsid w:val="00D300F0"/>
    <w:rsid w:val="00D3696D"/>
    <w:rsid w:val="00D502D9"/>
    <w:rsid w:val="00DC6D21"/>
    <w:rsid w:val="00DF1CB3"/>
    <w:rsid w:val="00E31F94"/>
    <w:rsid w:val="00E41FCE"/>
    <w:rsid w:val="00E42CEF"/>
    <w:rsid w:val="00E47A35"/>
    <w:rsid w:val="00E6079B"/>
    <w:rsid w:val="00E7675F"/>
    <w:rsid w:val="00E86AC7"/>
    <w:rsid w:val="00E97085"/>
    <w:rsid w:val="00F25FD2"/>
    <w:rsid w:val="00F62B65"/>
    <w:rsid w:val="00F82DFC"/>
    <w:rsid w:val="00F85F65"/>
    <w:rsid w:val="00FB0CD3"/>
    <w:rsid w:val="00FE36FD"/>
    <w:rsid w:val="1B697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28"/>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ind w:left="720" w:hanging="360"/>
      <w:jc w:val="both"/>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uiPriority w:val="99"/>
    <w:pPr>
      <w:spacing w:line="240" w:lineRule="auto"/>
    </w:pPr>
    <w:rPr>
      <w:rFonts w:ascii="Tahoma" w:hAnsi="Tahoma" w:cs="Tahoma"/>
      <w:sz w:val="16"/>
      <w:szCs w:val="16"/>
    </w:rPr>
  </w:style>
  <w:style w:type="character" w:styleId="4">
    <w:name w:val="Hyperlink"/>
    <w:basedOn w:val="3"/>
    <w:unhideWhenUsed/>
    <w:uiPriority w:val="99"/>
    <w:rPr>
      <w:color w:val="0000FF" w:themeColor="hyperlink"/>
      <w:u w:val="single"/>
    </w:rPr>
  </w:style>
  <w:style w:type="table" w:styleId="6">
    <w:name w:val="Table Grid"/>
    <w:basedOn w:val="5"/>
    <w:uiPriority w:val="59"/>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styleId="7">
    <w:name w:val="List Paragraph"/>
    <w:basedOn w:val="1"/>
    <w:qFormat/>
    <w:uiPriority w:val="34"/>
    <w:pPr>
      <w:contextualSpacing/>
    </w:pPr>
  </w:style>
  <w:style w:type="character" w:customStyle="1" w:styleId="8">
    <w:name w:val="Balloon Text Char"/>
    <w:basedOn w:val="3"/>
    <w:link w:val="2"/>
    <w:semiHidden/>
    <w:uiPriority w:val="99"/>
    <w:rPr>
      <w:rFonts w:ascii="Tahoma" w:hAnsi="Tahoma" w:cs="Tahoma"/>
      <w:sz w:val="16"/>
      <w:szCs w:val="16"/>
    </w:rPr>
  </w:style>
  <w:style w:type="character" w:styleId="9">
    <w:name w:val="Placeholder Text"/>
    <w:basedOn w:val="3"/>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12</Pages>
  <Words>3463</Words>
  <Characters>19743</Characters>
  <Lines>164</Lines>
  <Paragraphs>46</Paragraphs>
  <TotalTime>0</TotalTime>
  <ScaleCrop>false</ScaleCrop>
  <LinksUpToDate>false</LinksUpToDate>
  <CharactersWithSpaces>23160</CharactersWithSpaces>
  <Application>WPS Office_10.2.0.6020_F1E327BC-269C-435d-A152-05C5408002CA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2017-08-22T01:26:00Z</dcterms:created>
  <dc:creator>Desi_gaul</dc:creator>
  <cp:lastModifiedBy>STIKES</cp:lastModifiedBy>
  <cp:lastPrinted>2017-08-10T04:41:00Z</cp:lastPrinted>
  <dcterms:modified xsi:type="dcterms:W3CDTF">2018-05-14T02:28:44Z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